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djustRightInd w:val="0"/>
        <w:snapToGrid w:val="0"/>
        <w:spacing w:after="0" w:line="560" w:lineRule="exact"/>
        <w:outlineLvl w:val="0"/>
        <w:rPr>
          <w:rFonts w:hint="eastAsia" w:ascii="Times New Roman" w:hAnsi="Times New Roman" w:eastAsia="黑体" w:cs="Times New Roman"/>
          <w:sz w:val="32"/>
          <w:szCs w:val="32"/>
          <w:lang w:eastAsia="zh-CN"/>
        </w:rPr>
      </w:pPr>
      <w:r>
        <w:rPr>
          <w:rFonts w:hint="eastAsia" w:ascii="Times New Roman" w:hAnsi="Times New Roman" w:eastAsia="黑体" w:cs="Times New Roman"/>
          <w:sz w:val="32"/>
          <w:szCs w:val="32"/>
          <w:lang w:eastAsia="zh-CN"/>
        </w:rPr>
        <w:t>附件</w:t>
      </w:r>
    </w:p>
    <w:p>
      <w:pPr>
        <w:widowControl w:val="0"/>
        <w:adjustRightInd w:val="0"/>
        <w:snapToGrid w:val="0"/>
        <w:spacing w:after="0" w:line="560" w:lineRule="exact"/>
        <w:outlineLvl w:val="0"/>
        <w:rPr>
          <w:rFonts w:hint="eastAsia" w:ascii="Times New Roman" w:hAnsi="Times New Roman" w:eastAsia="黑体" w:cs="Times New Roman"/>
          <w:sz w:val="32"/>
          <w:szCs w:val="32"/>
          <w:lang w:eastAsia="zh-CN"/>
        </w:rPr>
      </w:pPr>
    </w:p>
    <w:p>
      <w:pPr>
        <w:widowControl w:val="0"/>
        <w:adjustRightInd w:val="0"/>
        <w:snapToGrid w:val="0"/>
        <w:spacing w:after="0" w:line="560" w:lineRule="exact"/>
        <w:jc w:val="center"/>
        <w:outlineLvl w:val="0"/>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2026年</w:t>
      </w:r>
      <w:bookmarkStart w:id="0" w:name="OLE_LINK53"/>
      <w:r>
        <w:rPr>
          <w:rFonts w:ascii="Times New Roman" w:hAnsi="Times New Roman" w:eastAsia="方正小标宋简体" w:cs="Times New Roman"/>
          <w:sz w:val="44"/>
          <w:szCs w:val="44"/>
        </w:rPr>
        <w:t>天津</w:t>
      </w:r>
      <w:r>
        <w:rPr>
          <w:rFonts w:hint="eastAsia" w:ascii="Times New Roman" w:hAnsi="Times New Roman" w:eastAsia="方正小标宋简体" w:cs="Times New Roman"/>
          <w:sz w:val="44"/>
          <w:szCs w:val="44"/>
          <w:lang w:eastAsia="zh-CN"/>
        </w:rPr>
        <w:t>市</w:t>
      </w:r>
      <w:r>
        <w:rPr>
          <w:rFonts w:ascii="Times New Roman" w:hAnsi="Times New Roman" w:eastAsia="方正小标宋简体" w:cs="Times New Roman"/>
          <w:sz w:val="44"/>
          <w:szCs w:val="44"/>
        </w:rPr>
        <w:t>科技发展战略研究计划项目</w:t>
      </w:r>
    </w:p>
    <w:p>
      <w:pPr>
        <w:widowControl w:val="0"/>
        <w:adjustRightInd w:val="0"/>
        <w:snapToGrid w:val="0"/>
        <w:spacing w:after="0" w:line="560" w:lineRule="exact"/>
        <w:jc w:val="center"/>
        <w:outlineLvl w:val="0"/>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（软科学研究项目）</w:t>
      </w:r>
      <w:bookmarkEnd w:id="0"/>
      <w:r>
        <w:rPr>
          <w:rFonts w:ascii="Times New Roman" w:hAnsi="Times New Roman" w:eastAsia="方正小标宋简体" w:cs="Times New Roman"/>
          <w:sz w:val="44"/>
          <w:szCs w:val="44"/>
        </w:rPr>
        <w:t>选题</w:t>
      </w:r>
    </w:p>
    <w:p>
      <w:pPr>
        <w:widowControl w:val="0"/>
        <w:adjustRightInd w:val="0"/>
        <w:snapToGrid w:val="0"/>
        <w:spacing w:after="0" w:line="560" w:lineRule="exact"/>
        <w:rPr>
          <w:rFonts w:ascii="Times New Roman" w:hAnsi="Times New Roman" w:cs="Times New Roman"/>
          <w:sz w:val="32"/>
          <w:szCs w:val="32"/>
        </w:rPr>
      </w:pPr>
    </w:p>
    <w:p>
      <w:pPr>
        <w:widowControl w:val="0"/>
        <w:adjustRightInd w:val="0"/>
        <w:snapToGrid w:val="0"/>
        <w:spacing w:after="0" w:line="560" w:lineRule="exact"/>
        <w:ind w:firstLine="640" w:firstLineChars="200"/>
        <w:jc w:val="both"/>
        <w:outlineLvl w:val="0"/>
        <w:rPr>
          <w:rFonts w:ascii="Times New Roman" w:hAnsi="Times New Roman" w:eastAsia="仿宋_GB2312" w:cs="Times New Roman"/>
          <w:b/>
          <w:bCs/>
          <w:snapToGrid w:val="0"/>
          <w:sz w:val="32"/>
          <w:szCs w:val="32"/>
        </w:rPr>
      </w:pPr>
      <w:bookmarkStart w:id="1" w:name="OLE_LINK40"/>
      <w:r>
        <w:rPr>
          <w:rFonts w:hint="eastAsia" w:ascii="Times New Roman" w:hAnsi="Times New Roman" w:eastAsia="黑体" w:cs="Times New Roman"/>
          <w:snapToGrid w:val="0"/>
          <w:sz w:val="32"/>
          <w:szCs w:val="32"/>
        </w:rPr>
        <w:t>一、固定选题</w:t>
      </w:r>
      <w:r>
        <w:rPr>
          <w:rFonts w:ascii="Times New Roman" w:hAnsi="Times New Roman" w:eastAsia="黑体" w:cs="Times New Roman"/>
          <w:snapToGrid w:val="0"/>
          <w:sz w:val="32"/>
          <w:szCs w:val="32"/>
        </w:rPr>
        <w:t>项目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w:t>
      </w:r>
      <w:r>
        <w:rPr>
          <w:rFonts w:ascii="Times New Roman" w:hAnsi="Times New Roman" w:eastAsia="仿宋_GB2312" w:cs="Times New Roman"/>
          <w:b/>
          <w:bCs/>
          <w:snapToGrid w:val="0"/>
          <w:sz w:val="32"/>
          <w:szCs w:val="32"/>
        </w:rPr>
        <w:t>.</w:t>
      </w:r>
      <w:r>
        <w:rPr>
          <w:rFonts w:hint="eastAsia" w:ascii="Times New Roman" w:hAnsi="Times New Roman" w:eastAsia="仿宋_GB2312" w:cs="Times New Roman"/>
          <w:b/>
          <w:bCs/>
          <w:snapToGrid w:val="0"/>
          <w:sz w:val="32"/>
          <w:szCs w:val="32"/>
        </w:rPr>
        <w:t>天开高教科创园</w:t>
      </w:r>
      <w:r>
        <w:rPr>
          <w:rFonts w:ascii="Times New Roman" w:hAnsi="Times New Roman" w:eastAsia="仿宋_GB2312" w:cs="Times New Roman"/>
          <w:b/>
          <w:bCs/>
          <w:snapToGrid w:val="0"/>
          <w:sz w:val="32"/>
          <w:szCs w:val="32"/>
        </w:rPr>
        <w:t>联动打造京津冀新质生产力创新协同区机制与</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1.深入分析天开高教科创园与“117项目”片区关联和逻辑，研究常态化联动的机制和路径</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2.立足京津冀协同发展的战略机遇和优势，研究引入北京</w:t>
      </w:r>
      <w:r>
        <w:rPr>
          <w:rFonts w:hint="eastAsia" w:ascii="Times New Roman" w:hAnsi="Times New Roman" w:eastAsia="仿宋_GB2312" w:cs="Times New Roman"/>
          <w:snapToGrid w:val="0"/>
          <w:sz w:val="32"/>
          <w:szCs w:val="32"/>
        </w:rPr>
        <w:t>的</w:t>
      </w:r>
      <w:r>
        <w:rPr>
          <w:rFonts w:ascii="Times New Roman" w:hAnsi="Times New Roman" w:eastAsia="仿宋_GB2312" w:cs="Times New Roman"/>
          <w:snapToGrid w:val="0"/>
          <w:sz w:val="32"/>
          <w:szCs w:val="32"/>
        </w:rPr>
        <w:t>资源方向、路径和机制</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3.聚焦新一代信息技术、生物医药、算力、机器人等重点领域，研究技术攻关、场景应用和产业生态协同路径</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4.研究</w:t>
      </w:r>
      <w:r>
        <w:rPr>
          <w:rFonts w:hint="eastAsia" w:ascii="Times New Roman" w:hAnsi="Times New Roman" w:eastAsia="仿宋_GB2312" w:cs="Times New Roman"/>
          <w:snapToGrid w:val="0"/>
          <w:sz w:val="32"/>
          <w:szCs w:val="32"/>
        </w:rPr>
        <w:t>提出</w:t>
      </w:r>
      <w:r>
        <w:rPr>
          <w:rFonts w:ascii="Times New Roman" w:hAnsi="Times New Roman" w:eastAsia="仿宋_GB2312" w:cs="Times New Roman"/>
          <w:snapToGrid w:val="0"/>
          <w:sz w:val="32"/>
          <w:szCs w:val="32"/>
        </w:rPr>
        <w:t>构建跨部门、跨片区协同推进机制，以及重大项目共享、资源政策协同、任务跟踪落实等</w:t>
      </w:r>
      <w:r>
        <w:rPr>
          <w:rFonts w:hint="eastAsia" w:ascii="Times New Roman" w:hAnsi="Times New Roman" w:eastAsia="仿宋_GB2312" w:cs="Times New Roman"/>
          <w:snapToGrid w:val="0"/>
          <w:sz w:val="32"/>
          <w:szCs w:val="32"/>
        </w:rPr>
        <w:t>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2.发挥国家级科研院所优势，助力天津产业发展对策研究</w:t>
      </w:r>
    </w:p>
    <w:p>
      <w:pPr>
        <w:widowControl w:val="0"/>
        <w:adjustRightInd w:val="0"/>
        <w:snapToGrid w:val="0"/>
        <w:spacing w:after="0" w:line="560" w:lineRule="exact"/>
        <w:ind w:firstLine="642" w:firstLineChars="200"/>
        <w:jc w:val="both"/>
        <w:rPr>
          <w:rFonts w:ascii="Times New Roman" w:hAnsi="Times New Roman" w:eastAsia="仿宋_GB2312" w:cs="Times New Roman"/>
          <w:snapToGrid w:val="0"/>
          <w:sz w:val="32"/>
          <w:szCs w:val="32"/>
        </w:rPr>
      </w:pPr>
      <w:r>
        <w:rPr>
          <w:rFonts w:hint="eastAsia" w:ascii="Times New Roman" w:hAnsi="Times New Roman" w:eastAsia="仿宋_GB2312" w:cs="Times New Roman"/>
          <w:b/>
          <w:bCs/>
          <w:snapToGrid w:val="0"/>
          <w:sz w:val="32"/>
          <w:szCs w:val="32"/>
        </w:rPr>
        <w:t>研究内容：</w:t>
      </w:r>
      <w:r>
        <w:rPr>
          <w:rFonts w:hint="eastAsia" w:ascii="Times New Roman" w:hAnsi="Times New Roman" w:eastAsia="仿宋_GB2312" w:cs="Times New Roman"/>
          <w:snapToGrid w:val="0"/>
          <w:sz w:val="32"/>
          <w:szCs w:val="32"/>
        </w:rPr>
        <w:t>1.梳理国家级科研院所在天津市产业分布现状、优势特色和发展成效，以及上级总部产业资源，形成我市国家级科研院所发展产业图谱；2.以壮大产业底盘、推动产业向价值链高端延伸为目标，分析依托国家级科研院所及其上级总部资源，形成我市战略性新兴产业和未来产业新增量的具体路径；3.研究提出发挥国家级科研院所优势，助力天津产业发展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3.海河实验室高水平建设对策研究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hint="eastAsia" w:ascii="Times New Roman" w:hAnsi="Times New Roman" w:eastAsia="仿宋_GB2312" w:cs="Times New Roman"/>
          <w:b/>
          <w:bCs/>
          <w:snapToGrid w:val="0"/>
          <w:sz w:val="32"/>
          <w:szCs w:val="32"/>
        </w:rPr>
        <w:t>研究内容：</w:t>
      </w:r>
      <w:r>
        <w:rPr>
          <w:rFonts w:hint="eastAsia" w:ascii="Times New Roman" w:hAnsi="Times New Roman" w:eastAsia="仿宋_GB2312" w:cs="Times New Roman"/>
          <w:snapToGrid w:val="0"/>
          <w:sz w:val="32"/>
          <w:szCs w:val="32"/>
        </w:rPr>
        <w:t>1.总结各地省实验室在科研攻关、人才引育、室企协同、改革创新等方面创新招法；2.从重大原始创新、重要成果转化、创新资源集聚、多元经费投入等方面分析海河实验室建设效能及问题；3.聚焦国家战略科技力量需求和天津高质量发展需要，提出高水平建设海河实验室路径及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4.</w:t>
      </w:r>
      <w:r>
        <w:rPr>
          <w:rFonts w:ascii="Times New Roman" w:hAnsi="Times New Roman" w:eastAsia="仿宋_GB2312" w:cs="Times New Roman"/>
          <w:b/>
          <w:bCs/>
          <w:snapToGrid w:val="0"/>
          <w:sz w:val="32"/>
          <w:szCs w:val="32"/>
        </w:rPr>
        <w:t>天开高教科创园“一核两翼多点”</w:t>
      </w:r>
      <w:r>
        <w:rPr>
          <w:rFonts w:hint="eastAsia" w:ascii="Times New Roman" w:hAnsi="Times New Roman" w:eastAsia="仿宋_GB2312" w:cs="Times New Roman"/>
          <w:b/>
          <w:bCs/>
          <w:snapToGrid w:val="0"/>
          <w:sz w:val="32"/>
          <w:szCs w:val="32"/>
        </w:rPr>
        <w:t>全域协同</w:t>
      </w:r>
      <w:r>
        <w:rPr>
          <w:rFonts w:ascii="Times New Roman" w:hAnsi="Times New Roman" w:eastAsia="仿宋_GB2312" w:cs="Times New Roman"/>
          <w:b/>
          <w:bCs/>
          <w:snapToGrid w:val="0"/>
          <w:sz w:val="32"/>
          <w:szCs w:val="32"/>
        </w:rPr>
        <w:t>机制与</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hint="eastAsia"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w:t>
      </w:r>
      <w:r>
        <w:rPr>
          <w:rFonts w:hint="eastAsia" w:ascii="Times New Roman" w:hAnsi="Times New Roman" w:eastAsia="仿宋_GB2312" w:cs="Times New Roman"/>
          <w:snapToGrid w:val="0"/>
          <w:sz w:val="32"/>
          <w:szCs w:val="32"/>
        </w:rPr>
        <w:t>梳理</w:t>
      </w:r>
      <w:r>
        <w:rPr>
          <w:rFonts w:ascii="Times New Roman" w:hAnsi="Times New Roman" w:eastAsia="仿宋_GB2312" w:cs="Times New Roman"/>
          <w:snapToGrid w:val="0"/>
          <w:sz w:val="32"/>
          <w:szCs w:val="32"/>
        </w:rPr>
        <w:t>天开高教科创园“一核两翼多点”全域协同机制现状，</w:t>
      </w:r>
      <w:r>
        <w:rPr>
          <w:rFonts w:hint="eastAsia" w:ascii="Times New Roman" w:hAnsi="Times New Roman" w:eastAsia="仿宋_GB2312" w:cs="Times New Roman"/>
          <w:snapToGrid w:val="0"/>
          <w:sz w:val="32"/>
          <w:szCs w:val="32"/>
        </w:rPr>
        <w:t>提出</w:t>
      </w:r>
      <w:r>
        <w:rPr>
          <w:rFonts w:ascii="Times New Roman" w:hAnsi="Times New Roman" w:eastAsia="仿宋_GB2312" w:cs="Times New Roman"/>
          <w:snapToGrid w:val="0"/>
          <w:sz w:val="32"/>
          <w:szCs w:val="32"/>
        </w:rPr>
        <w:t>深化</w:t>
      </w:r>
      <w:r>
        <w:rPr>
          <w:rFonts w:hint="eastAsia" w:ascii="Times New Roman" w:hAnsi="Times New Roman" w:eastAsia="仿宋_GB2312" w:cs="Times New Roman"/>
          <w:snapToGrid w:val="0"/>
          <w:sz w:val="32"/>
          <w:szCs w:val="32"/>
        </w:rPr>
        <w:t>“一核两翼多点”</w:t>
      </w:r>
      <w:r>
        <w:rPr>
          <w:rFonts w:ascii="Times New Roman" w:hAnsi="Times New Roman" w:eastAsia="仿宋_GB2312" w:cs="Times New Roman"/>
          <w:snapToGrid w:val="0"/>
          <w:sz w:val="32"/>
          <w:szCs w:val="32"/>
        </w:rPr>
        <w:t>资源统筹与协作联动</w:t>
      </w:r>
      <w:r>
        <w:rPr>
          <w:rFonts w:hint="eastAsia" w:ascii="Times New Roman" w:hAnsi="Times New Roman" w:eastAsia="仿宋_GB2312" w:cs="Times New Roman"/>
          <w:snapToGrid w:val="0"/>
          <w:sz w:val="32"/>
          <w:szCs w:val="32"/>
        </w:rPr>
        <w:t>对策建议；</w:t>
      </w:r>
      <w:r>
        <w:rPr>
          <w:rFonts w:ascii="Times New Roman" w:hAnsi="Times New Roman" w:eastAsia="仿宋_GB2312" w:cs="Times New Roman"/>
          <w:snapToGrid w:val="0"/>
          <w:sz w:val="32"/>
          <w:szCs w:val="32"/>
        </w:rPr>
        <w:t>2.围绕创新策源、服务生态</w:t>
      </w:r>
      <w:r>
        <w:rPr>
          <w:rFonts w:hint="eastAsia" w:ascii="Times New Roman" w:hAnsi="Times New Roman" w:eastAsia="仿宋_GB2312" w:cs="Times New Roman"/>
          <w:snapToGrid w:val="0"/>
          <w:sz w:val="32"/>
          <w:szCs w:val="32"/>
        </w:rPr>
        <w:t>等</w:t>
      </w:r>
      <w:r>
        <w:rPr>
          <w:rFonts w:ascii="Times New Roman" w:hAnsi="Times New Roman" w:eastAsia="仿宋_GB2312" w:cs="Times New Roman"/>
          <w:snapToGrid w:val="0"/>
          <w:sz w:val="32"/>
          <w:szCs w:val="32"/>
        </w:rPr>
        <w:t>维度，研究全要素赋能提升对策</w:t>
      </w:r>
      <w:r>
        <w:rPr>
          <w:rFonts w:hint="eastAsia" w:ascii="Times New Roman" w:hAnsi="Times New Roman" w:eastAsia="仿宋_GB2312" w:cs="Times New Roman"/>
          <w:snapToGrid w:val="0"/>
          <w:sz w:val="32"/>
          <w:szCs w:val="32"/>
        </w:rPr>
        <w:t>建议</w:t>
      </w:r>
      <w:r>
        <w:rPr>
          <w:rFonts w:ascii="Times New Roman" w:hAnsi="Times New Roman" w:eastAsia="仿宋_GB2312" w:cs="Times New Roman"/>
          <w:snapToGrid w:val="0"/>
          <w:sz w:val="32"/>
          <w:szCs w:val="32"/>
        </w:rPr>
        <w:t>；3.聚焦辐射带动需求，</w:t>
      </w:r>
      <w:r>
        <w:rPr>
          <w:rFonts w:hint="eastAsia" w:ascii="Times New Roman" w:hAnsi="Times New Roman" w:eastAsia="仿宋_GB2312" w:cs="Times New Roman"/>
          <w:snapToGrid w:val="0"/>
          <w:sz w:val="32"/>
          <w:szCs w:val="32"/>
        </w:rPr>
        <w:t>研究提出</w:t>
      </w:r>
      <w:r>
        <w:rPr>
          <w:rFonts w:ascii="Times New Roman" w:hAnsi="Times New Roman" w:eastAsia="仿宋_GB2312" w:cs="Times New Roman"/>
          <w:snapToGrid w:val="0"/>
          <w:sz w:val="32"/>
          <w:szCs w:val="32"/>
        </w:rPr>
        <w:t>纳入“多点”</w:t>
      </w:r>
      <w:r>
        <w:rPr>
          <w:rFonts w:hint="eastAsia" w:ascii="Times New Roman" w:hAnsi="Times New Roman" w:eastAsia="仿宋_GB2312" w:cs="Times New Roman"/>
          <w:snapToGrid w:val="0"/>
          <w:sz w:val="32"/>
          <w:szCs w:val="32"/>
        </w:rPr>
        <w:t>潜在区域的对策建议</w:t>
      </w:r>
      <w:r>
        <w:rPr>
          <w:rFonts w:ascii="Times New Roman" w:hAnsi="Times New Roman" w:eastAsia="仿宋_GB2312" w:cs="Times New Roman"/>
          <w:snapToGrid w:val="0"/>
          <w:sz w:val="32"/>
          <w:szCs w:val="32"/>
        </w:rPr>
        <w:t>；4.围绕政产学研用金服等多元主体，研究生态伙伴网络扩容与价值共创机制</w:t>
      </w:r>
      <w:r>
        <w:rPr>
          <w:rFonts w:hint="eastAsia" w:ascii="Times New Roman" w:hAnsi="Times New Roman" w:eastAsia="仿宋_GB2312" w:cs="Times New Roman"/>
          <w:snapToGrid w:val="0"/>
          <w:sz w:val="32"/>
          <w:szCs w:val="32"/>
        </w:rPr>
        <w:t>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5.</w:t>
      </w:r>
      <w:r>
        <w:t xml:space="preserve"> </w:t>
      </w:r>
      <w:r>
        <w:rPr>
          <w:rFonts w:hint="eastAsia" w:ascii="Times New Roman" w:hAnsi="Times New Roman" w:eastAsia="仿宋_GB2312" w:cs="Times New Roman"/>
          <w:b/>
          <w:bCs/>
          <w:snapToGrid w:val="0"/>
          <w:sz w:val="32"/>
          <w:szCs w:val="32"/>
        </w:rPr>
        <w:t>法治视角下</w:t>
      </w:r>
      <w:r>
        <w:rPr>
          <w:rFonts w:ascii="Times New Roman" w:hAnsi="Times New Roman" w:eastAsia="仿宋_GB2312" w:cs="Times New Roman"/>
          <w:b/>
          <w:bCs/>
          <w:snapToGrid w:val="0"/>
          <w:sz w:val="32"/>
          <w:szCs w:val="32"/>
        </w:rPr>
        <w:t>天开高教科创园</w:t>
      </w:r>
      <w:r>
        <w:rPr>
          <w:rFonts w:hint="eastAsia" w:ascii="Times New Roman" w:hAnsi="Times New Roman" w:eastAsia="仿宋_GB2312" w:cs="Times New Roman"/>
          <w:b/>
          <w:bCs/>
          <w:snapToGrid w:val="0"/>
          <w:sz w:val="32"/>
          <w:szCs w:val="32"/>
        </w:rPr>
        <w:t>提质增效对策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w:t>
      </w:r>
      <w:r>
        <w:rPr>
          <w:rFonts w:hint="eastAsia" w:ascii="Times New Roman" w:hAnsi="Times New Roman" w:eastAsia="仿宋_GB2312" w:cs="Times New Roman"/>
          <w:snapToGrid w:val="0"/>
          <w:sz w:val="32"/>
          <w:szCs w:val="32"/>
        </w:rPr>
        <w:t>总结</w:t>
      </w:r>
      <w:r>
        <w:rPr>
          <w:rFonts w:ascii="Times New Roman" w:hAnsi="Times New Roman" w:eastAsia="仿宋_GB2312" w:cs="Times New Roman"/>
          <w:snapToGrid w:val="0"/>
          <w:sz w:val="32"/>
          <w:szCs w:val="32"/>
        </w:rPr>
        <w:t>《天津促进天开高教科创园发展条例》贯彻实施情况，</w:t>
      </w:r>
      <w:r>
        <w:rPr>
          <w:rFonts w:hint="eastAsia" w:ascii="Times New Roman" w:hAnsi="Times New Roman" w:eastAsia="仿宋_GB2312" w:cs="Times New Roman"/>
          <w:snapToGrid w:val="0"/>
          <w:sz w:val="32"/>
          <w:szCs w:val="32"/>
        </w:rPr>
        <w:t>分析</w:t>
      </w:r>
      <w:r>
        <w:rPr>
          <w:rFonts w:ascii="Times New Roman" w:hAnsi="Times New Roman" w:eastAsia="仿宋_GB2312" w:cs="Times New Roman"/>
          <w:snapToGrid w:val="0"/>
          <w:sz w:val="32"/>
          <w:szCs w:val="32"/>
        </w:rPr>
        <w:t>天开高教科创园</w:t>
      </w:r>
      <w:r>
        <w:rPr>
          <w:rFonts w:hint="eastAsia" w:ascii="Times New Roman" w:hAnsi="Times New Roman" w:eastAsia="仿宋_GB2312" w:cs="Times New Roman"/>
          <w:snapToGrid w:val="0"/>
          <w:sz w:val="32"/>
          <w:szCs w:val="32"/>
        </w:rPr>
        <w:t>建设</w:t>
      </w:r>
      <w:r>
        <w:rPr>
          <w:rFonts w:ascii="Times New Roman" w:hAnsi="Times New Roman" w:eastAsia="仿宋_GB2312" w:cs="Times New Roman"/>
          <w:snapToGrid w:val="0"/>
          <w:sz w:val="32"/>
          <w:szCs w:val="32"/>
        </w:rPr>
        <w:t>成效与现实需求；2.调研高校院所、企业等主体，聚焦成果转化、要素联动等重点领域，剖析《条例》实施中的</w:t>
      </w:r>
      <w:r>
        <w:rPr>
          <w:rFonts w:hint="eastAsia" w:ascii="Times New Roman" w:hAnsi="Times New Roman" w:eastAsia="仿宋_GB2312" w:cs="Times New Roman"/>
          <w:snapToGrid w:val="0"/>
          <w:sz w:val="32"/>
          <w:szCs w:val="32"/>
        </w:rPr>
        <w:t>难点</w:t>
      </w:r>
      <w:r>
        <w:rPr>
          <w:rFonts w:ascii="Times New Roman" w:hAnsi="Times New Roman" w:eastAsia="仿宋_GB2312" w:cs="Times New Roman"/>
          <w:snapToGrid w:val="0"/>
          <w:sz w:val="32"/>
          <w:szCs w:val="32"/>
        </w:rPr>
        <w:t>问题与深层原因；3.立足天开高教科创园发展阶段，对标提质增效要求，提出以法治引领园区高质量发展的对策建议。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6.进一步优化天开高教科创园营商环境的对策研究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研究内容：</w:t>
      </w:r>
      <w:r>
        <w:rPr>
          <w:rFonts w:hint="eastAsia" w:ascii="Times New Roman" w:hAnsi="Times New Roman" w:eastAsia="仿宋_GB2312" w:cs="Times New Roman"/>
          <w:snapToGrid w:val="0"/>
          <w:sz w:val="32"/>
          <w:szCs w:val="32"/>
        </w:rPr>
        <w:t>1.梳理各省市优化科创园区营商环境的政策文件和经验做法，提炼可借鉴经验；2.调研天开高教科创园营商环境和服务生态的现状基础、工作成效，挖掘典型案例，总结天津实践经验与特色招法，分析存在的关键问题；3.立足实际情况，聚焦企业培育、金融赋能、服务供给、场景对接、品牌塑造等关键问题，提出进一步优化天开高教科创园营商环境的总体思路、有效路径和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7.</w:t>
      </w:r>
      <w:r>
        <w:rPr>
          <w:rFonts w:ascii="Times New Roman" w:hAnsi="Times New Roman" w:eastAsia="仿宋_GB2312" w:cs="Times New Roman"/>
          <w:b/>
          <w:bCs/>
          <w:snapToGrid w:val="0"/>
          <w:sz w:val="32"/>
          <w:szCs w:val="32"/>
        </w:rPr>
        <w:t>天津自主实验室建设路径与对策研究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1.梳理国内外</w:t>
      </w:r>
      <w:r>
        <w:rPr>
          <w:rFonts w:hint="eastAsia" w:ascii="Times New Roman" w:hAnsi="Times New Roman" w:eastAsia="仿宋_GB2312" w:cs="Times New Roman"/>
          <w:snapToGrid w:val="0"/>
          <w:sz w:val="32"/>
          <w:szCs w:val="32"/>
        </w:rPr>
        <w:t>人工智能</w:t>
      </w:r>
      <w:r>
        <w:rPr>
          <w:rFonts w:ascii="Times New Roman" w:hAnsi="Times New Roman" w:eastAsia="仿宋_GB2312" w:cs="Times New Roman"/>
          <w:snapToGrid w:val="0"/>
          <w:sz w:val="32"/>
          <w:szCs w:val="32"/>
        </w:rPr>
        <w:t>自主实验室建设经验，借鉴先进地区在总体布局</w:t>
      </w:r>
      <w:r>
        <w:rPr>
          <w:rFonts w:hint="eastAsia" w:ascii="Times New Roman" w:hAnsi="Times New Roman" w:eastAsia="仿宋_GB2312" w:cs="Times New Roman"/>
          <w:snapToGrid w:val="0"/>
          <w:sz w:val="32"/>
          <w:szCs w:val="32"/>
        </w:rPr>
        <w:t>与</w:t>
      </w:r>
      <w:r>
        <w:rPr>
          <w:rFonts w:ascii="Times New Roman" w:hAnsi="Times New Roman" w:eastAsia="仿宋_GB2312" w:cs="Times New Roman"/>
          <w:snapToGrid w:val="0"/>
          <w:sz w:val="32"/>
          <w:szCs w:val="32"/>
        </w:rPr>
        <w:t>建设路径等方面做法，</w:t>
      </w:r>
      <w:r>
        <w:rPr>
          <w:rFonts w:hint="eastAsia" w:ascii="Times New Roman" w:hAnsi="Times New Roman" w:eastAsia="仿宋_GB2312" w:cs="Times New Roman"/>
          <w:snapToGrid w:val="0"/>
          <w:sz w:val="32"/>
          <w:szCs w:val="32"/>
        </w:rPr>
        <w:t>凝练</w:t>
      </w:r>
      <w:r>
        <w:rPr>
          <w:rFonts w:ascii="Times New Roman" w:hAnsi="Times New Roman" w:eastAsia="仿宋_GB2312" w:cs="Times New Roman"/>
          <w:snapToGrid w:val="0"/>
          <w:sz w:val="32"/>
          <w:szCs w:val="32"/>
        </w:rPr>
        <w:t>形成可</w:t>
      </w:r>
      <w:r>
        <w:rPr>
          <w:rFonts w:hint="eastAsia" w:ascii="Times New Roman" w:hAnsi="Times New Roman" w:eastAsia="仿宋_GB2312" w:cs="Times New Roman"/>
          <w:snapToGrid w:val="0"/>
          <w:sz w:val="32"/>
          <w:szCs w:val="32"/>
        </w:rPr>
        <w:t>借鉴</w:t>
      </w:r>
      <w:r>
        <w:rPr>
          <w:rFonts w:ascii="Times New Roman" w:hAnsi="Times New Roman" w:eastAsia="仿宋_GB2312" w:cs="Times New Roman"/>
          <w:snapToGrid w:val="0"/>
          <w:sz w:val="32"/>
          <w:szCs w:val="32"/>
        </w:rPr>
        <w:t>经验</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2.调研天津重点实验室、高校院所、龙头企业等创新主体，围绕科研数据、实验仪器、算力等科研要素供给，</w:t>
      </w:r>
      <w:r>
        <w:rPr>
          <w:rFonts w:hint="eastAsia" w:ascii="Times New Roman" w:hAnsi="Times New Roman" w:eastAsia="仿宋_GB2312" w:cs="Times New Roman"/>
          <w:snapToGrid w:val="0"/>
          <w:sz w:val="32"/>
          <w:szCs w:val="32"/>
        </w:rPr>
        <w:t>分析人工智能</w:t>
      </w:r>
      <w:r>
        <w:rPr>
          <w:rFonts w:ascii="Times New Roman" w:hAnsi="Times New Roman" w:eastAsia="仿宋_GB2312" w:cs="Times New Roman"/>
          <w:snapToGrid w:val="0"/>
          <w:sz w:val="32"/>
          <w:szCs w:val="32"/>
        </w:rPr>
        <w:t>自主实验室建设瓶颈问题</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3.聚焦“十五五”科技创新关键领域，研究</w:t>
      </w:r>
      <w:r>
        <w:rPr>
          <w:rFonts w:hint="eastAsia" w:ascii="Times New Roman" w:hAnsi="Times New Roman" w:eastAsia="仿宋_GB2312" w:cs="Times New Roman"/>
          <w:snapToGrid w:val="0"/>
          <w:sz w:val="32"/>
          <w:szCs w:val="32"/>
        </w:rPr>
        <w:t>提出人工智能</w:t>
      </w:r>
      <w:r>
        <w:rPr>
          <w:rFonts w:ascii="Times New Roman" w:hAnsi="Times New Roman" w:eastAsia="仿宋_GB2312" w:cs="Times New Roman"/>
          <w:snapToGrid w:val="0"/>
          <w:sz w:val="32"/>
          <w:szCs w:val="32"/>
        </w:rPr>
        <w:t>自主实验室建设的模式路径，</w:t>
      </w:r>
      <w:r>
        <w:rPr>
          <w:rFonts w:hint="eastAsia" w:ascii="Times New Roman" w:hAnsi="Times New Roman" w:eastAsia="仿宋_GB2312" w:cs="Times New Roman"/>
          <w:snapToGrid w:val="0"/>
          <w:sz w:val="32"/>
          <w:szCs w:val="32"/>
        </w:rPr>
        <w:t>以及</w:t>
      </w:r>
      <w:r>
        <w:rPr>
          <w:rFonts w:ascii="Times New Roman" w:hAnsi="Times New Roman" w:eastAsia="仿宋_GB2312" w:cs="Times New Roman"/>
          <w:snapToGrid w:val="0"/>
          <w:sz w:val="32"/>
          <w:szCs w:val="32"/>
        </w:rPr>
        <w:t>要素协同、应用落地、生态营建等</w:t>
      </w:r>
      <w:r>
        <w:rPr>
          <w:rFonts w:hint="eastAsia" w:ascii="Times New Roman" w:hAnsi="Times New Roman" w:eastAsia="仿宋_GB2312" w:cs="Times New Roman"/>
          <w:snapToGrid w:val="0"/>
          <w:sz w:val="32"/>
          <w:szCs w:val="32"/>
        </w:rPr>
        <w:t>配套举措和对策建议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8.</w:t>
      </w:r>
      <w:r>
        <w:rPr>
          <w:rFonts w:ascii="Times New Roman" w:hAnsi="Times New Roman" w:eastAsia="仿宋_GB2312" w:cs="Times New Roman"/>
          <w:b/>
          <w:bCs/>
          <w:snapToGrid w:val="0"/>
          <w:sz w:val="32"/>
          <w:szCs w:val="32"/>
        </w:rPr>
        <w:t>天津推动高端科学仪器及科研试剂创新发展</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天津高端科学仪器及科研试剂领域技术创新水平、企业分布、产品结构、产业布局现状；2.从核心技术攻关、成果应用推广、人才引育、金融支持及政策协同等维度，剖析制约发展关键瓶颈；3.对标国内外先进地区成功模式与政策实践，围绕“研发攻关—中试验证—推广应用—产业培育”全链条，提炼可借鉴经验</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提出</w:t>
      </w:r>
      <w:r>
        <w:rPr>
          <w:rFonts w:hint="eastAsia" w:ascii="Times New Roman" w:hAnsi="Times New Roman" w:eastAsia="仿宋_GB2312" w:cs="Times New Roman"/>
          <w:snapToGrid w:val="0"/>
          <w:sz w:val="32"/>
          <w:szCs w:val="32"/>
        </w:rPr>
        <w:t>对策</w:t>
      </w:r>
      <w:r>
        <w:rPr>
          <w:rFonts w:ascii="Times New Roman" w:hAnsi="Times New Roman" w:eastAsia="仿宋_GB2312" w:cs="Times New Roman"/>
          <w:snapToGrid w:val="0"/>
          <w:sz w:val="32"/>
          <w:szCs w:val="32"/>
        </w:rPr>
        <w:t>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9.天津进一步推动科技创新和产业创新深度融合对策研究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snapToGrid w:val="0"/>
          <w:sz w:val="32"/>
          <w:szCs w:val="32"/>
        </w:rPr>
        <w:t>1.</w:t>
      </w:r>
      <w:r>
        <w:rPr>
          <w:rFonts w:hint="eastAsia" w:ascii="Times New Roman" w:hAnsi="Times New Roman" w:eastAsia="仿宋_GB2312"/>
          <w:snapToGrid w:val="0"/>
          <w:sz w:val="32"/>
          <w:szCs w:val="32"/>
        </w:rPr>
        <w:t>梳理各省市推动科技创新和产业创新深度融合、以科技创新引领产业创新的政策文件和经验做法，提炼可借鉴经验；2.广泛调研天津推动科技创新和产业创新深度融合的现状基础和工作成效，挖掘典型案例，总结天津实践经验与特色招法，提炼可复制、可推广模式；3.立足实际情况，聚焦产业共性卡点技术攻关、存量科技成果转化、融合接口机制优化等关键问题，提出天津进一步推动科技创新和产业创新深度融合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10.天津</w:t>
      </w:r>
      <w:r>
        <w:rPr>
          <w:rFonts w:ascii="Times New Roman" w:hAnsi="Times New Roman" w:eastAsia="仿宋_GB2312" w:cs="Times New Roman"/>
          <w:b/>
          <w:bCs/>
          <w:snapToGrid w:val="0"/>
          <w:sz w:val="32"/>
          <w:szCs w:val="32"/>
        </w:rPr>
        <w:t>脑机接口未来产业体系和产业生态建设</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w:t>
      </w:r>
      <w:r>
        <w:rPr>
          <w:rFonts w:hint="eastAsia" w:ascii="Times New Roman" w:hAnsi="Times New Roman" w:eastAsia="仿宋_GB2312" w:cs="Times New Roman"/>
          <w:snapToGrid w:val="0"/>
          <w:sz w:val="32"/>
          <w:szCs w:val="32"/>
        </w:rPr>
        <w:t>研判</w:t>
      </w:r>
      <w:r>
        <w:rPr>
          <w:rFonts w:ascii="Times New Roman" w:hAnsi="Times New Roman" w:eastAsia="仿宋_GB2312" w:cs="Times New Roman"/>
          <w:snapToGrid w:val="0"/>
          <w:sz w:val="32"/>
          <w:szCs w:val="32"/>
        </w:rPr>
        <w:t>国内外脑机接口发展态势，</w:t>
      </w:r>
      <w:r>
        <w:rPr>
          <w:rFonts w:hint="eastAsia" w:ascii="Times New Roman" w:hAnsi="Times New Roman" w:eastAsia="仿宋_GB2312" w:cs="Times New Roman"/>
          <w:snapToGrid w:val="0"/>
          <w:sz w:val="32"/>
          <w:szCs w:val="32"/>
        </w:rPr>
        <w:t>分析</w:t>
      </w:r>
      <w:r>
        <w:rPr>
          <w:rFonts w:ascii="Times New Roman" w:hAnsi="Times New Roman" w:eastAsia="仿宋_GB2312" w:cs="Times New Roman"/>
          <w:snapToGrid w:val="0"/>
          <w:sz w:val="32"/>
          <w:szCs w:val="32"/>
        </w:rPr>
        <w:t>非侵入式/侵入式脑机接口技术趋势与突破方向，梳理天津技术创新成果与科技资源布局</w:t>
      </w:r>
      <w:r>
        <w:rPr>
          <w:rFonts w:hint="eastAsia" w:ascii="Times New Roman" w:hAnsi="Times New Roman" w:eastAsia="仿宋_GB2312" w:cs="Times New Roman"/>
          <w:snapToGrid w:val="0"/>
          <w:sz w:val="32"/>
          <w:szCs w:val="32"/>
        </w:rPr>
        <w:t>；2.</w:t>
      </w:r>
      <w:r>
        <w:rPr>
          <w:rFonts w:ascii="Times New Roman" w:hAnsi="Times New Roman" w:eastAsia="仿宋_GB2312" w:cs="Times New Roman"/>
          <w:snapToGrid w:val="0"/>
          <w:sz w:val="32"/>
          <w:szCs w:val="32"/>
        </w:rPr>
        <w:t>分析</w:t>
      </w:r>
      <w:r>
        <w:rPr>
          <w:rFonts w:hint="eastAsia" w:ascii="Times New Roman" w:hAnsi="Times New Roman" w:eastAsia="仿宋_GB2312" w:cs="Times New Roman"/>
          <w:snapToGrid w:val="0"/>
          <w:sz w:val="32"/>
          <w:szCs w:val="32"/>
        </w:rPr>
        <w:t>脑机接口关键核心技术与装备发展特征和趋势，分类梳理下游医疗和非医疗行业应用发展规律，总结</w:t>
      </w:r>
      <w:r>
        <w:rPr>
          <w:rFonts w:ascii="Times New Roman" w:hAnsi="Times New Roman" w:eastAsia="仿宋_GB2312" w:cs="Times New Roman"/>
          <w:snapToGrid w:val="0"/>
          <w:sz w:val="32"/>
          <w:szCs w:val="32"/>
        </w:rPr>
        <w:t>典型应用场景与商业模式，梳理天津核心产品布局与产业要素配置</w:t>
      </w:r>
      <w:r>
        <w:rPr>
          <w:rFonts w:hint="eastAsia" w:ascii="Times New Roman" w:hAnsi="Times New Roman" w:eastAsia="仿宋_GB2312" w:cs="Times New Roman"/>
          <w:snapToGrid w:val="0"/>
          <w:sz w:val="32"/>
          <w:szCs w:val="32"/>
        </w:rPr>
        <w:t>；3.</w:t>
      </w:r>
      <w:r>
        <w:rPr>
          <w:rFonts w:ascii="Times New Roman" w:hAnsi="Times New Roman" w:eastAsia="仿宋_GB2312" w:cs="Times New Roman"/>
          <w:snapToGrid w:val="0"/>
          <w:sz w:val="32"/>
          <w:szCs w:val="32"/>
        </w:rPr>
        <w:t>从前沿技术体系布局、应用场景拓展、生态要素配置等维度，提出培育脑机接口未来产业对策建议。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color w:val="EE0000"/>
          <w:sz w:val="32"/>
          <w:szCs w:val="32"/>
          <w:highlight w:val="yellow"/>
        </w:rPr>
      </w:pPr>
      <w:r>
        <w:rPr>
          <w:rFonts w:hint="eastAsia" w:ascii="Times New Roman" w:hAnsi="Times New Roman" w:eastAsia="仿宋_GB2312" w:cs="Times New Roman"/>
          <w:b/>
          <w:bCs/>
          <w:snapToGrid w:val="0"/>
          <w:sz w:val="32"/>
          <w:szCs w:val="32"/>
        </w:rPr>
        <w:t>11</w:t>
      </w:r>
      <w:r>
        <w:rPr>
          <w:rFonts w:ascii="Times New Roman" w:hAnsi="Times New Roman" w:eastAsia="仿宋_GB2312" w:cs="Times New Roman"/>
          <w:b/>
          <w:bCs/>
          <w:snapToGrid w:val="0"/>
          <w:sz w:val="32"/>
          <w:szCs w:val="32"/>
        </w:rPr>
        <w:t>.</w:t>
      </w:r>
      <w:r>
        <w:rPr>
          <w:rFonts w:hint="eastAsia" w:ascii="Times New Roman" w:hAnsi="Times New Roman" w:eastAsia="仿宋_GB2312" w:cs="Times New Roman"/>
          <w:b/>
          <w:bCs/>
          <w:snapToGrid w:val="0"/>
          <w:sz w:val="32"/>
          <w:szCs w:val="32"/>
        </w:rPr>
        <w:t>天津</w:t>
      </w:r>
      <w:r>
        <w:rPr>
          <w:rFonts w:ascii="Times New Roman" w:hAnsi="Times New Roman" w:eastAsia="仿宋_GB2312" w:cs="Times New Roman"/>
          <w:b/>
          <w:bCs/>
          <w:snapToGrid w:val="0"/>
          <w:sz w:val="32"/>
          <w:szCs w:val="32"/>
        </w:rPr>
        <w:t>细胞与基因治疗全链条创新效能</w:t>
      </w:r>
      <w:r>
        <w:rPr>
          <w:rFonts w:hint="eastAsia" w:ascii="Times New Roman" w:hAnsi="Times New Roman" w:eastAsia="仿宋_GB2312" w:cs="Times New Roman"/>
          <w:b/>
          <w:bCs/>
          <w:snapToGrid w:val="0"/>
          <w:sz w:val="32"/>
          <w:szCs w:val="32"/>
        </w:rPr>
        <w:t>提升对策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hint="eastAsia"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1.分析国内外细胞与基因治疗发展态势，研判天津发展基础与功能定位；2.围绕“原始创新—临床研究—成果转化—产业化”全链条调研</w:t>
      </w:r>
      <w:r>
        <w:rPr>
          <w:rFonts w:hint="eastAsia" w:ascii="Times New Roman" w:hAnsi="Times New Roman" w:eastAsia="仿宋_GB2312" w:cs="Times New Roman"/>
          <w:snapToGrid w:val="0"/>
          <w:sz w:val="32"/>
          <w:szCs w:val="32"/>
        </w:rPr>
        <w:t>分析</w:t>
      </w:r>
      <w:r>
        <w:rPr>
          <w:rFonts w:ascii="Times New Roman" w:hAnsi="Times New Roman" w:eastAsia="仿宋_GB2312" w:cs="Times New Roman"/>
          <w:snapToGrid w:val="0"/>
          <w:sz w:val="32"/>
          <w:szCs w:val="32"/>
        </w:rPr>
        <w:t>创新策源与成果转化效能，识别关键</w:t>
      </w:r>
      <w:r>
        <w:rPr>
          <w:rFonts w:hint="eastAsia" w:ascii="Times New Roman" w:hAnsi="Times New Roman" w:eastAsia="仿宋_GB2312" w:cs="Times New Roman"/>
          <w:snapToGrid w:val="0"/>
          <w:sz w:val="32"/>
          <w:szCs w:val="32"/>
        </w:rPr>
        <w:t>问题和发展瓶颈</w:t>
      </w:r>
      <w:r>
        <w:rPr>
          <w:rFonts w:ascii="Times New Roman" w:hAnsi="Times New Roman" w:eastAsia="仿宋_GB2312" w:cs="Times New Roman"/>
          <w:snapToGrid w:val="0"/>
          <w:sz w:val="32"/>
          <w:szCs w:val="32"/>
        </w:rPr>
        <w:t>；3.总结国内外典型经验，研究京津冀细胞与基因治疗创新资源协同、平台共建和成果转化机制</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提出“十五五”时期全链条创新效能提升路径</w:t>
      </w:r>
      <w:r>
        <w:rPr>
          <w:rFonts w:hint="eastAsia" w:ascii="Times New Roman" w:hAnsi="Times New Roman" w:eastAsia="仿宋_GB2312" w:cs="Times New Roman"/>
          <w:snapToGrid w:val="0"/>
          <w:sz w:val="32"/>
          <w:szCs w:val="32"/>
        </w:rPr>
        <w:t>与</w:t>
      </w:r>
      <w:r>
        <w:rPr>
          <w:rFonts w:ascii="Times New Roman" w:hAnsi="Times New Roman" w:eastAsia="仿宋_GB2312" w:cs="Times New Roman"/>
          <w:snapToGrid w:val="0"/>
          <w:sz w:val="32"/>
          <w:szCs w:val="32"/>
        </w:rPr>
        <w:t>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12.天津传统非遗中医药理论传承创新对策研究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hint="eastAsia" w:ascii="Times New Roman" w:hAnsi="Times New Roman" w:eastAsia="仿宋_GB2312" w:cs="Times New Roman"/>
          <w:b/>
          <w:bCs/>
          <w:snapToGrid w:val="0"/>
          <w:sz w:val="32"/>
          <w:szCs w:val="32"/>
        </w:rPr>
        <w:t>研究内容：</w:t>
      </w:r>
      <w:r>
        <w:rPr>
          <w:rFonts w:hint="eastAsia" w:ascii="Times New Roman" w:hAnsi="Times New Roman" w:eastAsia="仿宋_GB2312" w:cs="Times New Roman"/>
          <w:snapToGrid w:val="0"/>
          <w:sz w:val="32"/>
          <w:szCs w:val="32"/>
        </w:rPr>
        <w:t>1.系统梳理天津中医药非遗资源，剖析政策—科研—产业衔接难点，</w:t>
      </w:r>
      <w:r>
        <w:rPr>
          <w:rFonts w:ascii="Times New Roman" w:hAnsi="Times New Roman" w:eastAsia="仿宋_GB2312" w:cs="Times New Roman"/>
          <w:snapToGrid w:val="0"/>
          <w:sz w:val="32"/>
          <w:szCs w:val="32"/>
        </w:rPr>
        <w:t>提出协同开发与成果转化的机制建议</w:t>
      </w:r>
      <w:r>
        <w:rPr>
          <w:rFonts w:hint="eastAsia" w:ascii="Times New Roman" w:hAnsi="Times New Roman" w:eastAsia="仿宋_GB2312" w:cs="Times New Roman"/>
          <w:snapToGrid w:val="0"/>
          <w:sz w:val="32"/>
          <w:szCs w:val="32"/>
        </w:rPr>
        <w:t>；2.梳理天津世代传承的引药治证学术脉络，发掘天津中医药理论的特色与优势；3.遵循因时因地因人制宜原则化裁古方，围绕老年康养、少儿调理等赛道，</w:t>
      </w:r>
      <w:r>
        <w:rPr>
          <w:rFonts w:ascii="Times New Roman" w:hAnsi="Times New Roman" w:eastAsia="仿宋_GB2312" w:cs="Times New Roman"/>
          <w:snapToGrid w:val="0"/>
          <w:sz w:val="32"/>
          <w:szCs w:val="32"/>
        </w:rPr>
        <w:t>提出古方新药及康养产品的转化模式与</w:t>
      </w:r>
      <w:r>
        <w:rPr>
          <w:rFonts w:hint="eastAsia" w:ascii="Times New Roman" w:hAnsi="Times New Roman" w:eastAsia="仿宋_GB2312" w:cs="Times New Roman"/>
          <w:snapToGrid w:val="0"/>
          <w:sz w:val="32"/>
          <w:szCs w:val="32"/>
        </w:rPr>
        <w:t>对策</w:t>
      </w:r>
      <w:r>
        <w:rPr>
          <w:rFonts w:ascii="Times New Roman" w:hAnsi="Times New Roman" w:eastAsia="仿宋_GB2312" w:cs="Times New Roman"/>
          <w:snapToGrid w:val="0"/>
          <w:sz w:val="32"/>
          <w:szCs w:val="32"/>
        </w:rPr>
        <w:t>建议</w:t>
      </w:r>
      <w:r>
        <w:rPr>
          <w:rFonts w:hint="eastAsia"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13.生物制造、脑机接口领域产业图谱研究</w:t>
      </w:r>
    </w:p>
    <w:p>
      <w:pPr>
        <w:widowControl w:val="0"/>
        <w:adjustRightInd w:val="0"/>
        <w:snapToGrid w:val="0"/>
        <w:spacing w:after="0" w:line="560" w:lineRule="exact"/>
        <w:ind w:firstLine="642" w:firstLineChars="200"/>
        <w:jc w:val="both"/>
        <w:outlineLvl w:val="0"/>
        <w:rPr>
          <w:rFonts w:ascii="Times New Roman" w:hAnsi="Times New Roman" w:eastAsia="仿宋_GB2312"/>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1.绘制</w:t>
      </w:r>
      <w:r>
        <w:rPr>
          <w:rFonts w:hint="eastAsia" w:ascii="Times New Roman" w:hAnsi="Times New Roman" w:eastAsia="仿宋_GB2312" w:cs="Times New Roman"/>
          <w:snapToGrid w:val="0"/>
          <w:sz w:val="32"/>
          <w:szCs w:val="32"/>
        </w:rPr>
        <w:t>我国全链条</w:t>
      </w:r>
      <w:r>
        <w:rPr>
          <w:rFonts w:ascii="Times New Roman" w:hAnsi="Times New Roman" w:eastAsia="仿宋_GB2312" w:cs="Times New Roman"/>
          <w:snapToGrid w:val="0"/>
          <w:sz w:val="32"/>
          <w:szCs w:val="32"/>
        </w:rPr>
        <w:t>生物制造、脑机接口产业图谱，</w:t>
      </w:r>
      <w:r>
        <w:rPr>
          <w:rFonts w:hint="eastAsia" w:ascii="Times New Roman" w:hAnsi="Times New Roman" w:eastAsia="仿宋_GB2312" w:cs="Times New Roman"/>
          <w:snapToGrid w:val="0"/>
          <w:sz w:val="32"/>
          <w:szCs w:val="32"/>
        </w:rPr>
        <w:t>并重点分析</w:t>
      </w:r>
      <w:r>
        <w:rPr>
          <w:rFonts w:ascii="Times New Roman" w:hAnsi="Times New Roman" w:eastAsia="仿宋_GB2312" w:cs="Times New Roman"/>
          <w:snapToGrid w:val="0"/>
          <w:sz w:val="32"/>
          <w:szCs w:val="32"/>
        </w:rPr>
        <w:t>北京、上海、苏州、深圳等</w:t>
      </w:r>
      <w:r>
        <w:rPr>
          <w:rFonts w:hint="eastAsia" w:ascii="Times New Roman" w:hAnsi="Times New Roman" w:eastAsia="仿宋_GB2312" w:cs="Times New Roman"/>
          <w:snapToGrid w:val="0"/>
          <w:sz w:val="32"/>
          <w:szCs w:val="32"/>
        </w:rPr>
        <w:t>重点区域的代表企业和主要产品；</w:t>
      </w:r>
      <w:r>
        <w:rPr>
          <w:rFonts w:ascii="Times New Roman" w:hAnsi="Times New Roman" w:eastAsia="仿宋_GB2312" w:cs="Times New Roman"/>
          <w:snapToGrid w:val="0"/>
          <w:sz w:val="32"/>
          <w:szCs w:val="32"/>
        </w:rPr>
        <w:t>2.梳理天津现有生物制造、脑机接口产业基础与比较优势，对武清区、经开区、保税区、高新区、静海区做重点分析</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查找产业链短板、产业转化等</w:t>
      </w:r>
      <w:r>
        <w:rPr>
          <w:rFonts w:hint="eastAsia" w:ascii="Times New Roman" w:hAnsi="Times New Roman" w:eastAsia="仿宋_GB2312" w:cs="Times New Roman"/>
          <w:snapToGrid w:val="0"/>
          <w:sz w:val="32"/>
          <w:szCs w:val="32"/>
        </w:rPr>
        <w:t>薄弱环节；</w:t>
      </w:r>
      <w:r>
        <w:rPr>
          <w:rFonts w:ascii="Times New Roman" w:hAnsi="Times New Roman" w:eastAsia="仿宋_GB2312" w:cs="Times New Roman"/>
          <w:snapToGrid w:val="0"/>
          <w:sz w:val="32"/>
          <w:szCs w:val="32"/>
        </w:rPr>
        <w:t>3.以“补链、强链、延链”为原则，</w:t>
      </w:r>
      <w:r>
        <w:rPr>
          <w:rFonts w:hint="eastAsia" w:ascii="Times New Roman" w:hAnsi="Times New Roman" w:eastAsia="仿宋_GB2312" w:cs="Times New Roman"/>
          <w:snapToGrid w:val="0"/>
          <w:sz w:val="32"/>
          <w:szCs w:val="32"/>
        </w:rPr>
        <w:t>从</w:t>
      </w:r>
      <w:r>
        <w:rPr>
          <w:rFonts w:ascii="Times New Roman" w:hAnsi="Times New Roman" w:eastAsia="仿宋_GB2312" w:cs="Times New Roman"/>
          <w:snapToGrid w:val="0"/>
          <w:sz w:val="32"/>
          <w:szCs w:val="32"/>
        </w:rPr>
        <w:t>技术路线、产业链结构、重点企业及区域布局</w:t>
      </w:r>
      <w:r>
        <w:rPr>
          <w:rFonts w:hint="eastAsia" w:ascii="Times New Roman" w:hAnsi="Times New Roman" w:eastAsia="仿宋_GB2312" w:cs="Times New Roman"/>
          <w:snapToGrid w:val="0"/>
          <w:sz w:val="32"/>
          <w:szCs w:val="32"/>
        </w:rPr>
        <w:t>等方面提出对策建议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14.天津液冷技术、产业现状和未来发展对策研究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hint="eastAsia" w:ascii="Times New Roman" w:hAnsi="Times New Roman" w:eastAsia="仿宋_GB2312" w:cs="Times New Roman"/>
          <w:snapToGrid w:val="0"/>
          <w:sz w:val="32"/>
          <w:szCs w:val="32"/>
        </w:rPr>
        <w:t>1.梳理国内外液冷领域技术创新、产业布局和政策导向，结合国家“东数西算”和智算中心战略布局研判发展趋势及天津面临的机遇；2.调研天津液冷产业发展状况，梳理企业、平台、高校、人才、技术和应用场景；3.立足天津资源禀赋，围绕“做强优势赛道、攻坚卡脖子赛道、前瞻布局未来赛道”提出发展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15.</w:t>
      </w:r>
      <w:r>
        <w:rPr>
          <w:rFonts w:ascii="Times New Roman" w:hAnsi="Times New Roman" w:eastAsia="仿宋_GB2312" w:cs="Times New Roman"/>
          <w:b/>
          <w:bCs/>
          <w:snapToGrid w:val="0"/>
          <w:sz w:val="32"/>
          <w:szCs w:val="32"/>
        </w:rPr>
        <w:t>天津未来材料</w:t>
      </w:r>
      <w:r>
        <w:rPr>
          <w:rFonts w:hint="eastAsia" w:ascii="Times New Roman" w:hAnsi="Times New Roman" w:eastAsia="仿宋_GB2312" w:cs="Times New Roman"/>
          <w:b/>
          <w:bCs/>
          <w:snapToGrid w:val="0"/>
          <w:sz w:val="32"/>
          <w:szCs w:val="32"/>
        </w:rPr>
        <w:t>技术创新与产业</w:t>
      </w:r>
      <w:r>
        <w:rPr>
          <w:rFonts w:ascii="Times New Roman" w:hAnsi="Times New Roman" w:eastAsia="仿宋_GB2312" w:cs="Times New Roman"/>
          <w:b/>
          <w:bCs/>
          <w:snapToGrid w:val="0"/>
          <w:sz w:val="32"/>
          <w:szCs w:val="32"/>
        </w:rPr>
        <w:t>发展</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w:t>
      </w:r>
      <w:r>
        <w:rPr>
          <w:rFonts w:ascii="Segoe UI" w:hAnsi="Segoe UI" w:cs="Segoe UI"/>
          <w:color w:val="F9FAFB"/>
        </w:rPr>
        <w:t xml:space="preserve"> </w:t>
      </w:r>
      <w:r>
        <w:rPr>
          <w:rFonts w:ascii="Times New Roman" w:hAnsi="Times New Roman" w:eastAsia="仿宋_GB2312" w:cs="Times New Roman"/>
          <w:snapToGrid w:val="0"/>
          <w:sz w:val="32"/>
          <w:szCs w:val="32"/>
        </w:rPr>
        <w:t>梳理国外未来材料领域技术创新、产业布局与政策导向，研判半导体材料、先进化工材料、新能源材料等重点领域发展趋势</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2.分析国内未来材料产业政策、区域布局与产业链建设情况，剖析“卡脖子”技术等共性</w:t>
      </w:r>
      <w:r>
        <w:rPr>
          <w:rFonts w:hint="eastAsia" w:ascii="Times New Roman" w:hAnsi="Times New Roman" w:eastAsia="仿宋_GB2312" w:cs="Times New Roman"/>
          <w:snapToGrid w:val="0"/>
          <w:sz w:val="32"/>
          <w:szCs w:val="32"/>
        </w:rPr>
        <w:t>难</w:t>
      </w:r>
      <w:r>
        <w:rPr>
          <w:rFonts w:ascii="Times New Roman" w:hAnsi="Times New Roman" w:eastAsia="仿宋_GB2312" w:cs="Times New Roman"/>
          <w:snapToGrid w:val="0"/>
          <w:sz w:val="32"/>
          <w:szCs w:val="32"/>
        </w:rPr>
        <w:t>点，研判天津面临的战略机遇</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3.总结天津未来材料产业载体、龙头企业、科研平台及区位优势，剖析</w:t>
      </w:r>
      <w:r>
        <w:rPr>
          <w:rFonts w:hint="eastAsia" w:ascii="Times New Roman" w:hAnsi="Times New Roman" w:eastAsia="仿宋_GB2312" w:cs="Times New Roman"/>
          <w:snapToGrid w:val="0"/>
          <w:sz w:val="32"/>
          <w:szCs w:val="32"/>
        </w:rPr>
        <w:t>问题</w:t>
      </w:r>
      <w:r>
        <w:rPr>
          <w:rFonts w:ascii="Times New Roman" w:hAnsi="Times New Roman" w:eastAsia="仿宋_GB2312" w:cs="Times New Roman"/>
          <w:snapToGrid w:val="0"/>
          <w:sz w:val="32"/>
          <w:szCs w:val="32"/>
        </w:rPr>
        <w:t>短板，提出分领域发展建议。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16.</w:t>
      </w:r>
      <w:r>
        <w:rPr>
          <w:rFonts w:ascii="Times New Roman" w:hAnsi="Times New Roman" w:eastAsia="仿宋_GB2312" w:cs="Times New Roman"/>
          <w:b/>
          <w:bCs/>
          <w:snapToGrid w:val="0"/>
          <w:sz w:val="32"/>
          <w:szCs w:val="32"/>
        </w:rPr>
        <w:t>天津资源循环科技创新高地建设</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1.梳理天津资源循环领域高校院所、领军企业、创新平台等战略科技力量构成，</w:t>
      </w:r>
      <w:r>
        <w:rPr>
          <w:rFonts w:hint="eastAsia" w:ascii="Times New Roman" w:hAnsi="Times New Roman" w:eastAsia="仿宋_GB2312" w:cs="Times New Roman"/>
          <w:snapToGrid w:val="0"/>
          <w:sz w:val="32"/>
          <w:szCs w:val="32"/>
        </w:rPr>
        <w:t>研究分析</w:t>
      </w:r>
      <w:r>
        <w:rPr>
          <w:rFonts w:ascii="Times New Roman" w:hAnsi="Times New Roman" w:eastAsia="仿宋_GB2312" w:cs="Times New Roman"/>
          <w:snapToGrid w:val="0"/>
          <w:sz w:val="32"/>
          <w:szCs w:val="32"/>
        </w:rPr>
        <w:t>其与产业发展需求匹配度，识别布局短板；2.选取国内外典型案例，</w:t>
      </w:r>
      <w:r>
        <w:rPr>
          <w:rFonts w:hint="eastAsia" w:ascii="Times New Roman" w:hAnsi="Times New Roman" w:eastAsia="仿宋_GB2312" w:cs="Times New Roman"/>
          <w:snapToGrid w:val="0"/>
          <w:sz w:val="32"/>
          <w:szCs w:val="32"/>
        </w:rPr>
        <w:t>分析总结</w:t>
      </w:r>
      <w:r>
        <w:rPr>
          <w:rFonts w:ascii="Times New Roman" w:hAnsi="Times New Roman" w:eastAsia="仿宋_GB2312" w:cs="Times New Roman"/>
          <w:snapToGrid w:val="0"/>
          <w:sz w:val="32"/>
          <w:szCs w:val="32"/>
        </w:rPr>
        <w:t>国家任务—重大平台—科技创新与产业集聚</w:t>
      </w:r>
      <w:r>
        <w:rPr>
          <w:rFonts w:hint="eastAsia" w:ascii="Times New Roman" w:hAnsi="Times New Roman" w:eastAsia="仿宋_GB2312" w:cs="Times New Roman"/>
          <w:snapToGrid w:val="0"/>
          <w:sz w:val="32"/>
          <w:szCs w:val="32"/>
        </w:rPr>
        <w:t>的</w:t>
      </w:r>
      <w:r>
        <w:rPr>
          <w:rFonts w:ascii="Times New Roman" w:hAnsi="Times New Roman" w:eastAsia="仿宋_GB2312" w:cs="Times New Roman"/>
          <w:snapToGrid w:val="0"/>
          <w:sz w:val="32"/>
          <w:szCs w:val="32"/>
        </w:rPr>
        <w:t>联动规律与适用经验；3.</w:t>
      </w:r>
      <w:r>
        <w:rPr>
          <w:rFonts w:hint="eastAsia" w:ascii="Times New Roman" w:hAnsi="Times New Roman" w:eastAsia="仿宋_GB2312" w:cs="Times New Roman"/>
          <w:snapToGrid w:val="0"/>
          <w:sz w:val="32"/>
          <w:szCs w:val="32"/>
        </w:rPr>
        <w:t>研究提出</w:t>
      </w:r>
      <w:r>
        <w:rPr>
          <w:rFonts w:ascii="Times New Roman" w:hAnsi="Times New Roman" w:eastAsia="仿宋_GB2312" w:cs="Times New Roman"/>
          <w:snapToGrid w:val="0"/>
          <w:sz w:val="32"/>
          <w:szCs w:val="32"/>
        </w:rPr>
        <w:t>国家任务落地配套、创新平台辐射、成果转化、人才集聚、场景开放驱动等</w:t>
      </w:r>
      <w:r>
        <w:rPr>
          <w:rFonts w:hint="eastAsia" w:ascii="Times New Roman" w:hAnsi="Times New Roman" w:eastAsia="仿宋_GB2312" w:cs="Times New Roman"/>
          <w:snapToGrid w:val="0"/>
          <w:sz w:val="32"/>
          <w:szCs w:val="32"/>
        </w:rPr>
        <w:t>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17.科技支撑天津市海洋经济高质量发展对策研究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1.梳理天津海洋经济规模结构、重点产业布局与海洋科技创新资源底数，全面盘点涉海高校院所、科技企业、创新平台、科技人才、科研成果等创新资源，对标国内先进地区，</w:t>
      </w:r>
      <w:r>
        <w:rPr>
          <w:rFonts w:hint="eastAsia" w:ascii="Times New Roman" w:hAnsi="Times New Roman" w:eastAsia="仿宋_GB2312" w:cs="Times New Roman"/>
          <w:snapToGrid w:val="0"/>
          <w:sz w:val="32"/>
          <w:szCs w:val="32"/>
        </w:rPr>
        <w:t>分析科技支撑海洋经济发展中的短板弱项；</w:t>
      </w:r>
      <w:r>
        <w:rPr>
          <w:rFonts w:ascii="Times New Roman" w:hAnsi="Times New Roman" w:eastAsia="仿宋_GB2312" w:cs="Times New Roman"/>
          <w:snapToGrid w:val="0"/>
          <w:sz w:val="32"/>
          <w:szCs w:val="32"/>
        </w:rPr>
        <w:t>2.剖析关键技术攻关、创新主体培育、创新平台赋能、科技成果转化等环节的作用机理，</w:t>
      </w:r>
      <w:r>
        <w:rPr>
          <w:rFonts w:hint="eastAsia" w:ascii="Times New Roman" w:hAnsi="Times New Roman" w:eastAsia="仿宋_GB2312" w:cs="Times New Roman"/>
          <w:snapToGrid w:val="0"/>
          <w:sz w:val="32"/>
          <w:szCs w:val="32"/>
        </w:rPr>
        <w:t>研究科技支撑海洋经济高质量发展的内在机制与关键抓手；</w:t>
      </w:r>
      <w:r>
        <w:rPr>
          <w:rFonts w:ascii="Times New Roman" w:hAnsi="Times New Roman" w:eastAsia="仿宋_GB2312" w:cs="Times New Roman"/>
          <w:snapToGrid w:val="0"/>
          <w:sz w:val="32"/>
          <w:szCs w:val="32"/>
        </w:rPr>
        <w:t>3.聚焦海洋科技创新高地打造、现代海洋产业体系构建等重点方向，提出科技支撑天津市海洋经济高质量发展的</w:t>
      </w:r>
      <w:r>
        <w:rPr>
          <w:rFonts w:hint="eastAsia" w:ascii="Times New Roman" w:hAnsi="Times New Roman" w:eastAsia="仿宋_GB2312" w:cs="Times New Roman"/>
          <w:snapToGrid w:val="0"/>
          <w:sz w:val="32"/>
          <w:szCs w:val="32"/>
        </w:rPr>
        <w:t>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18.</w:t>
      </w:r>
      <w:r>
        <w:rPr>
          <w:rFonts w:ascii="Times New Roman" w:hAnsi="Times New Roman" w:eastAsia="仿宋_GB2312" w:cs="Times New Roman"/>
          <w:b/>
          <w:bCs/>
          <w:snapToGrid w:val="0"/>
          <w:sz w:val="32"/>
          <w:szCs w:val="32"/>
        </w:rPr>
        <w:t>基于改革导向教育科技人才一体化发展“天津模式”</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1.梳理国家层面教育科技人才协同治理的顶层设计、政策演进与改革导向，</w:t>
      </w:r>
      <w:r>
        <w:rPr>
          <w:rFonts w:hint="eastAsia" w:ascii="Times New Roman" w:hAnsi="Times New Roman" w:eastAsia="仿宋_GB2312" w:cs="Times New Roman"/>
          <w:snapToGrid w:val="0"/>
          <w:sz w:val="32"/>
          <w:szCs w:val="32"/>
        </w:rPr>
        <w:t>总结</w:t>
      </w:r>
      <w:r>
        <w:rPr>
          <w:rFonts w:ascii="Times New Roman" w:hAnsi="Times New Roman" w:eastAsia="仿宋_GB2312" w:cs="Times New Roman"/>
          <w:snapToGrid w:val="0"/>
          <w:sz w:val="32"/>
          <w:szCs w:val="32"/>
        </w:rPr>
        <w:t>先进省市一体化建设的制度创新实践经验</w:t>
      </w:r>
      <w:r>
        <w:rPr>
          <w:rFonts w:hint="eastAsia" w:ascii="Times New Roman" w:hAnsi="Times New Roman" w:eastAsia="仿宋_GB2312" w:cs="Times New Roman"/>
          <w:snapToGrid w:val="0"/>
          <w:sz w:val="32"/>
          <w:szCs w:val="32"/>
        </w:rPr>
        <w:t>与</w:t>
      </w:r>
      <w:r>
        <w:rPr>
          <w:rFonts w:ascii="Times New Roman" w:hAnsi="Times New Roman" w:eastAsia="仿宋_GB2312" w:cs="Times New Roman"/>
          <w:snapToGrid w:val="0"/>
          <w:sz w:val="32"/>
          <w:szCs w:val="32"/>
        </w:rPr>
        <w:t>可借鉴范式；2.</w:t>
      </w:r>
      <w:r>
        <w:rPr>
          <w:rFonts w:hint="eastAsia" w:ascii="Times New Roman" w:hAnsi="Times New Roman" w:eastAsia="仿宋_GB2312" w:cs="Times New Roman"/>
          <w:snapToGrid w:val="0"/>
          <w:sz w:val="32"/>
          <w:szCs w:val="32"/>
        </w:rPr>
        <w:t>调研</w:t>
      </w:r>
      <w:r>
        <w:rPr>
          <w:rFonts w:ascii="Times New Roman" w:hAnsi="Times New Roman" w:eastAsia="仿宋_GB2312" w:cs="Times New Roman"/>
          <w:snapToGrid w:val="0"/>
          <w:sz w:val="32"/>
          <w:szCs w:val="32"/>
        </w:rPr>
        <w:t>天津深化教育科技人才一体</w:t>
      </w:r>
      <w:r>
        <w:rPr>
          <w:rFonts w:hint="eastAsia" w:ascii="Times New Roman" w:hAnsi="Times New Roman" w:eastAsia="仿宋_GB2312" w:cs="Times New Roman"/>
          <w:snapToGrid w:val="0"/>
          <w:sz w:val="32"/>
          <w:szCs w:val="32"/>
        </w:rPr>
        <w:t>化</w:t>
      </w:r>
      <w:r>
        <w:rPr>
          <w:rFonts w:ascii="Times New Roman" w:hAnsi="Times New Roman" w:eastAsia="仿宋_GB2312" w:cs="Times New Roman"/>
          <w:snapToGrid w:val="0"/>
          <w:sz w:val="32"/>
          <w:szCs w:val="32"/>
        </w:rPr>
        <w:t>改革的做法与成效，</w:t>
      </w:r>
      <w:r>
        <w:rPr>
          <w:rFonts w:hint="eastAsia" w:ascii="Times New Roman" w:hAnsi="Times New Roman" w:eastAsia="仿宋_GB2312" w:cs="Times New Roman"/>
          <w:snapToGrid w:val="0"/>
          <w:sz w:val="32"/>
          <w:szCs w:val="32"/>
        </w:rPr>
        <w:t>重点分析</w:t>
      </w:r>
      <w:r>
        <w:rPr>
          <w:rFonts w:ascii="Times New Roman" w:hAnsi="Times New Roman" w:eastAsia="仿宋_GB2312" w:cs="Times New Roman"/>
          <w:snapToGrid w:val="0"/>
          <w:sz w:val="32"/>
          <w:szCs w:val="32"/>
        </w:rPr>
        <w:t>跨部门协同、政策衔接、资源共享、评价体系贯通等方面存在问题；3.依托天开高教科创园和“117项目”片区等重要载体，从体制机制创新角度</w:t>
      </w:r>
      <w:r>
        <w:rPr>
          <w:rFonts w:hint="eastAsia" w:ascii="Times New Roman" w:hAnsi="Times New Roman" w:eastAsia="仿宋_GB2312" w:cs="Times New Roman"/>
          <w:snapToGrid w:val="0"/>
          <w:sz w:val="32"/>
          <w:szCs w:val="32"/>
        </w:rPr>
        <w:t>提出对策建议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19.优化天津</w:t>
      </w:r>
      <w:r>
        <w:rPr>
          <w:rFonts w:ascii="Times New Roman" w:hAnsi="Times New Roman" w:eastAsia="仿宋_GB2312" w:cs="Times New Roman"/>
          <w:b/>
          <w:bCs/>
          <w:snapToGrid w:val="0"/>
          <w:sz w:val="32"/>
          <w:szCs w:val="32"/>
        </w:rPr>
        <w:t>科技计划项目体系化布局及全链条实施机制</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1.梳理天津科技计划项目体系架构、形成机制、资源配置格局与实施成效，结合“有组织的科研”需求和“十五五”</w:t>
      </w:r>
      <w:r>
        <w:rPr>
          <w:rFonts w:hint="eastAsia" w:ascii="Times New Roman" w:hAnsi="Times New Roman" w:eastAsia="仿宋_GB2312" w:cs="Times New Roman"/>
          <w:snapToGrid w:val="0"/>
          <w:sz w:val="32"/>
          <w:szCs w:val="32"/>
        </w:rPr>
        <w:t>科技创新布局</w:t>
      </w:r>
      <w:r>
        <w:rPr>
          <w:rFonts w:ascii="Times New Roman" w:hAnsi="Times New Roman" w:eastAsia="仿宋_GB2312" w:cs="Times New Roman"/>
          <w:snapToGrid w:val="0"/>
          <w:sz w:val="32"/>
          <w:szCs w:val="32"/>
        </w:rPr>
        <w:t>，</w:t>
      </w:r>
      <w:r>
        <w:rPr>
          <w:rFonts w:hint="eastAsia" w:ascii="Times New Roman" w:hAnsi="Times New Roman" w:eastAsia="仿宋_GB2312" w:cs="Times New Roman"/>
          <w:snapToGrid w:val="0"/>
          <w:sz w:val="32"/>
          <w:szCs w:val="32"/>
        </w:rPr>
        <w:t>分析</w:t>
      </w:r>
      <w:r>
        <w:rPr>
          <w:rFonts w:ascii="Times New Roman" w:hAnsi="Times New Roman" w:eastAsia="仿宋_GB2312" w:cs="Times New Roman"/>
          <w:snapToGrid w:val="0"/>
          <w:sz w:val="32"/>
          <w:szCs w:val="32"/>
        </w:rPr>
        <w:t>体系运行、供需对接中的短板；2.紧扣“企业出题、科技答题、产业判题”核心逻辑，</w:t>
      </w:r>
      <w:r>
        <w:rPr>
          <w:rFonts w:hint="eastAsia" w:ascii="Times New Roman" w:hAnsi="Times New Roman" w:eastAsia="仿宋_GB2312" w:cs="Times New Roman"/>
          <w:snapToGrid w:val="0"/>
          <w:sz w:val="32"/>
          <w:szCs w:val="32"/>
        </w:rPr>
        <w:t>研究</w:t>
      </w:r>
      <w:r>
        <w:rPr>
          <w:rFonts w:ascii="Times New Roman" w:hAnsi="Times New Roman" w:eastAsia="仿宋_GB2312" w:cs="Times New Roman"/>
          <w:snapToGrid w:val="0"/>
          <w:sz w:val="32"/>
          <w:szCs w:val="32"/>
        </w:rPr>
        <w:t>产业技术需求挖掘</w:t>
      </w:r>
      <w:r>
        <w:rPr>
          <w:rFonts w:hint="eastAsia" w:ascii="Times New Roman" w:hAnsi="Times New Roman" w:eastAsia="仿宋_GB2312" w:cs="Times New Roman"/>
          <w:snapToGrid w:val="0"/>
          <w:sz w:val="32"/>
          <w:szCs w:val="32"/>
        </w:rPr>
        <w:t>与</w:t>
      </w:r>
      <w:r>
        <w:rPr>
          <w:rFonts w:ascii="Times New Roman" w:hAnsi="Times New Roman" w:eastAsia="仿宋_GB2312" w:cs="Times New Roman"/>
          <w:snapToGrid w:val="0"/>
          <w:sz w:val="32"/>
          <w:szCs w:val="32"/>
        </w:rPr>
        <w:t>凝练机制，</w:t>
      </w:r>
      <w:r>
        <w:rPr>
          <w:rFonts w:hint="eastAsia" w:ascii="Times New Roman" w:hAnsi="Times New Roman" w:eastAsia="仿宋_GB2312" w:cs="Times New Roman"/>
          <w:snapToGrid w:val="0"/>
          <w:sz w:val="32"/>
          <w:szCs w:val="32"/>
        </w:rPr>
        <w:t>提出打</w:t>
      </w:r>
      <w:r>
        <w:rPr>
          <w:rFonts w:ascii="Times New Roman" w:hAnsi="Times New Roman" w:eastAsia="仿宋_GB2312" w:cs="Times New Roman"/>
          <w:snapToGrid w:val="0"/>
          <w:sz w:val="32"/>
          <w:szCs w:val="32"/>
        </w:rPr>
        <w:t>通企业需求</w:t>
      </w:r>
      <w:r>
        <w:rPr>
          <w:rFonts w:hint="eastAsia" w:ascii="Times New Roman" w:hAnsi="Times New Roman" w:eastAsia="仿宋_GB2312" w:cs="Times New Roman"/>
          <w:snapToGrid w:val="0"/>
          <w:sz w:val="32"/>
          <w:szCs w:val="32"/>
        </w:rPr>
        <w:t>向</w:t>
      </w:r>
      <w:r>
        <w:rPr>
          <w:rFonts w:ascii="Times New Roman" w:hAnsi="Times New Roman" w:eastAsia="仿宋_GB2312" w:cs="Times New Roman"/>
          <w:snapToGrid w:val="0"/>
          <w:sz w:val="32"/>
          <w:szCs w:val="32"/>
        </w:rPr>
        <w:t>科研攻关任务</w:t>
      </w:r>
      <w:r>
        <w:rPr>
          <w:rFonts w:hint="eastAsia" w:ascii="Times New Roman" w:hAnsi="Times New Roman" w:eastAsia="仿宋_GB2312" w:cs="Times New Roman"/>
          <w:snapToGrid w:val="0"/>
          <w:sz w:val="32"/>
          <w:szCs w:val="32"/>
        </w:rPr>
        <w:t>转化路径对策建议</w:t>
      </w:r>
      <w:r>
        <w:rPr>
          <w:rFonts w:ascii="Times New Roman" w:hAnsi="Times New Roman" w:eastAsia="仿宋_GB2312" w:cs="Times New Roman"/>
          <w:snapToGrid w:val="0"/>
          <w:sz w:val="32"/>
          <w:szCs w:val="32"/>
        </w:rPr>
        <w:t>；3.围绕天津重点</w:t>
      </w:r>
      <w:r>
        <w:rPr>
          <w:rFonts w:hint="eastAsia" w:ascii="Times New Roman" w:hAnsi="Times New Roman" w:eastAsia="仿宋_GB2312" w:cs="Times New Roman"/>
          <w:snapToGrid w:val="0"/>
          <w:sz w:val="32"/>
          <w:szCs w:val="32"/>
        </w:rPr>
        <w:t>产业</w:t>
      </w:r>
      <w:r>
        <w:rPr>
          <w:rFonts w:ascii="Times New Roman" w:hAnsi="Times New Roman" w:eastAsia="仿宋_GB2312" w:cs="Times New Roman"/>
          <w:snapToGrid w:val="0"/>
          <w:sz w:val="32"/>
          <w:szCs w:val="32"/>
        </w:rPr>
        <w:t>培育方向，提出指南凝练、资源组织、项目实施、成果转化与绩效跟踪等环节优化建议。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20.</w:t>
      </w:r>
      <w:r>
        <w:rPr>
          <w:rFonts w:ascii="Times New Roman" w:hAnsi="Times New Roman" w:eastAsia="仿宋_GB2312" w:cs="Times New Roman"/>
          <w:b/>
          <w:bCs/>
          <w:snapToGrid w:val="0"/>
          <w:sz w:val="32"/>
          <w:szCs w:val="32"/>
        </w:rPr>
        <w:t>天津</w:t>
      </w:r>
      <w:r>
        <w:rPr>
          <w:rFonts w:hint="eastAsia" w:ascii="Times New Roman" w:hAnsi="Times New Roman" w:eastAsia="仿宋_GB2312" w:cs="Times New Roman"/>
          <w:b/>
          <w:bCs/>
          <w:snapToGrid w:val="0"/>
          <w:sz w:val="32"/>
          <w:szCs w:val="32"/>
        </w:rPr>
        <w:t>进一步加强</w:t>
      </w:r>
      <w:r>
        <w:rPr>
          <w:rFonts w:ascii="Times New Roman" w:hAnsi="Times New Roman" w:eastAsia="仿宋_GB2312" w:cs="Times New Roman"/>
          <w:b/>
          <w:bCs/>
          <w:snapToGrid w:val="0"/>
          <w:sz w:val="32"/>
          <w:szCs w:val="32"/>
        </w:rPr>
        <w:t>科技型企业</w:t>
      </w:r>
      <w:r>
        <w:rPr>
          <w:rFonts w:hint="eastAsia" w:ascii="Times New Roman" w:hAnsi="Times New Roman" w:eastAsia="仿宋_GB2312" w:cs="Times New Roman"/>
          <w:b/>
          <w:bCs/>
          <w:snapToGrid w:val="0"/>
          <w:sz w:val="32"/>
          <w:szCs w:val="32"/>
        </w:rPr>
        <w:t>培育</w:t>
      </w:r>
      <w:r>
        <w:rPr>
          <w:rFonts w:ascii="Times New Roman" w:hAnsi="Times New Roman" w:eastAsia="仿宋_GB2312" w:cs="Times New Roman"/>
          <w:b/>
          <w:bCs/>
          <w:snapToGrid w:val="0"/>
          <w:sz w:val="32"/>
          <w:szCs w:val="32"/>
        </w:rPr>
        <w:t>机制</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1.立足创新生态系统、企业生命周期等理论，构建科技型企业</w:t>
      </w:r>
      <w:r>
        <w:rPr>
          <w:rFonts w:hint="eastAsia" w:ascii="Times New Roman" w:hAnsi="Times New Roman" w:eastAsia="仿宋_GB2312" w:cs="Times New Roman"/>
          <w:snapToGrid w:val="0"/>
          <w:sz w:val="32"/>
          <w:szCs w:val="32"/>
        </w:rPr>
        <w:t>培</w:t>
      </w:r>
      <w:r>
        <w:rPr>
          <w:rFonts w:ascii="Times New Roman" w:hAnsi="Times New Roman" w:eastAsia="仿宋_GB2312" w:cs="Times New Roman"/>
          <w:snapToGrid w:val="0"/>
          <w:sz w:val="32"/>
          <w:szCs w:val="32"/>
        </w:rPr>
        <w:t>育的理论框架；2.</w:t>
      </w:r>
      <w:r>
        <w:rPr>
          <w:rFonts w:hint="eastAsia" w:ascii="Times New Roman" w:hAnsi="Times New Roman" w:eastAsia="仿宋_GB2312" w:cs="Times New Roman"/>
          <w:snapToGrid w:val="0"/>
          <w:sz w:val="32"/>
          <w:szCs w:val="32"/>
        </w:rPr>
        <w:t>调研</w:t>
      </w:r>
      <w:r>
        <w:rPr>
          <w:rFonts w:ascii="Times New Roman" w:hAnsi="Times New Roman" w:eastAsia="仿宋_GB2312" w:cs="Times New Roman"/>
          <w:snapToGrid w:val="0"/>
          <w:sz w:val="32"/>
          <w:szCs w:val="32"/>
        </w:rPr>
        <w:t>天津科技型企业</w:t>
      </w:r>
      <w:r>
        <w:rPr>
          <w:rFonts w:hint="eastAsia" w:ascii="Times New Roman" w:hAnsi="Times New Roman" w:eastAsia="仿宋_GB2312" w:cs="Times New Roman"/>
          <w:snapToGrid w:val="0"/>
          <w:sz w:val="32"/>
          <w:szCs w:val="32"/>
        </w:rPr>
        <w:t>培</w:t>
      </w:r>
      <w:r>
        <w:rPr>
          <w:rFonts w:ascii="Times New Roman" w:hAnsi="Times New Roman" w:eastAsia="仿宋_GB2312" w:cs="Times New Roman"/>
          <w:snapToGrid w:val="0"/>
          <w:sz w:val="32"/>
          <w:szCs w:val="32"/>
        </w:rPr>
        <w:t>育现状、政策举措及存在问题，</w:t>
      </w:r>
      <w:r>
        <w:rPr>
          <w:rFonts w:hint="eastAsia" w:ascii="Times New Roman" w:hAnsi="Times New Roman" w:eastAsia="仿宋_GB2312" w:cs="Times New Roman"/>
          <w:snapToGrid w:val="0"/>
          <w:sz w:val="32"/>
          <w:szCs w:val="32"/>
        </w:rPr>
        <w:t>分析</w:t>
      </w:r>
      <w:r>
        <w:rPr>
          <w:rFonts w:ascii="Times New Roman" w:hAnsi="Times New Roman" w:eastAsia="仿宋_GB2312" w:cs="Times New Roman"/>
          <w:snapToGrid w:val="0"/>
          <w:sz w:val="32"/>
          <w:szCs w:val="32"/>
        </w:rPr>
        <w:t>融资对接、人才</w:t>
      </w:r>
      <w:r>
        <w:rPr>
          <w:rFonts w:hint="eastAsia" w:ascii="Times New Roman" w:hAnsi="Times New Roman" w:eastAsia="仿宋_GB2312" w:cs="Times New Roman"/>
          <w:snapToGrid w:val="0"/>
          <w:sz w:val="32"/>
          <w:szCs w:val="32"/>
        </w:rPr>
        <w:t>培</w:t>
      </w:r>
      <w:r>
        <w:rPr>
          <w:rFonts w:ascii="Times New Roman" w:hAnsi="Times New Roman" w:eastAsia="仿宋_GB2312" w:cs="Times New Roman"/>
          <w:snapToGrid w:val="0"/>
          <w:sz w:val="32"/>
          <w:szCs w:val="32"/>
        </w:rPr>
        <w:t>育、场景供给、要素保障等方面瓶颈；3.聚焦战略性新兴及未来产业领域，分析高成长潜力企业群体特征，明确招引机制与对策；4.系统</w:t>
      </w:r>
      <w:r>
        <w:rPr>
          <w:rFonts w:hint="eastAsia" w:ascii="Times New Roman" w:hAnsi="Times New Roman" w:eastAsia="仿宋_GB2312" w:cs="Times New Roman"/>
          <w:snapToGrid w:val="0"/>
          <w:sz w:val="32"/>
          <w:szCs w:val="32"/>
        </w:rPr>
        <w:t>调研</w:t>
      </w:r>
      <w:r>
        <w:rPr>
          <w:rFonts w:ascii="Times New Roman" w:hAnsi="Times New Roman" w:eastAsia="仿宋_GB2312" w:cs="Times New Roman"/>
          <w:snapToGrid w:val="0"/>
          <w:sz w:val="32"/>
          <w:szCs w:val="32"/>
        </w:rPr>
        <w:t>从科技型中小企业到高新技术企业、猎豹企业、独角兽企业的全周期梯度培育机制，研究孵化器赋能模式，提出对策</w:t>
      </w:r>
      <w:r>
        <w:rPr>
          <w:rFonts w:hint="eastAsia" w:ascii="Times New Roman" w:hAnsi="Times New Roman" w:eastAsia="仿宋_GB2312" w:cs="Times New Roman"/>
          <w:snapToGrid w:val="0"/>
          <w:sz w:val="32"/>
          <w:szCs w:val="32"/>
        </w:rPr>
        <w:t>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rPr>
          <w:rFonts w:ascii="仿宋_GB2312" w:hAnsi="等线" w:eastAsia="仿宋_GB2312" w:cs="Times New Roman"/>
          <w:b/>
          <w:bCs/>
          <w:kern w:val="2"/>
          <w:sz w:val="32"/>
          <w:szCs w:val="32"/>
          <w14:ligatures w14:val="standardContextual"/>
        </w:rPr>
      </w:pPr>
      <w:r>
        <w:rPr>
          <w:rFonts w:hint="eastAsia" w:ascii="Times New Roman" w:hAnsi="Times New Roman" w:eastAsia="仿宋_GB2312" w:cs="Times New Roman"/>
          <w:b/>
          <w:bCs/>
          <w:snapToGrid w:val="0"/>
          <w:sz w:val="32"/>
          <w:szCs w:val="32"/>
        </w:rPr>
        <w:t>21.天津</w:t>
      </w:r>
      <w:r>
        <w:rPr>
          <w:rFonts w:hint="eastAsia" w:ascii="仿宋_GB2312" w:hAnsi="等线" w:eastAsia="仿宋_GB2312" w:cs="Times New Roman"/>
          <w:b/>
          <w:bCs/>
          <w:kern w:val="2"/>
          <w:sz w:val="32"/>
          <w:szCs w:val="32"/>
          <w14:ligatures w14:val="standardContextual"/>
        </w:rPr>
        <w:t>完善全链条科技金融服务体系对策研究</w:t>
      </w:r>
    </w:p>
    <w:p>
      <w:pPr>
        <w:widowControl w:val="0"/>
        <w:adjustRightInd w:val="0"/>
        <w:snapToGrid w:val="0"/>
        <w:spacing w:after="0" w:line="560" w:lineRule="exact"/>
        <w:ind w:firstLine="642" w:firstLineChars="200"/>
        <w:jc w:val="both"/>
        <w:rPr>
          <w:rFonts w:ascii="Times New Roman" w:hAnsi="Times New Roman" w:eastAsia="仿宋_GB2312" w:cs="Times New Roman"/>
          <w:b/>
          <w:bCs/>
          <w:kern w:val="2"/>
          <w:sz w:val="32"/>
          <w:szCs w:val="32"/>
          <w14:ligatures w14:val="standardContextual"/>
        </w:rPr>
      </w:pPr>
      <w:r>
        <w:rPr>
          <w:rFonts w:hint="eastAsia" w:ascii="仿宋_GB2312" w:hAnsi="等线" w:eastAsia="仿宋_GB2312" w:cs="Times New Roman"/>
          <w:b/>
          <w:bCs/>
          <w:kern w:val="2"/>
          <w:sz w:val="32"/>
          <w:szCs w:val="32"/>
          <w14:ligatures w14:val="standardContextual"/>
        </w:rPr>
        <w:t>研究内容：</w:t>
      </w:r>
      <w:r>
        <w:rPr>
          <w:rFonts w:ascii="Times New Roman" w:hAnsi="Times New Roman" w:eastAsia="仿宋_GB2312" w:cs="Times New Roman"/>
          <w:kern w:val="2"/>
          <w:sz w:val="32"/>
          <w:szCs w:val="32"/>
          <w14:ligatures w14:val="standardContextual"/>
        </w:rPr>
        <w:t>1.开展</w:t>
      </w:r>
      <w:r>
        <w:rPr>
          <w:rFonts w:hint="eastAsia" w:ascii="Times New Roman" w:hAnsi="Times New Roman" w:eastAsia="仿宋_GB2312" w:cs="Times New Roman"/>
          <w:kern w:val="2"/>
          <w:sz w:val="32"/>
          <w:szCs w:val="32"/>
          <w14:ligatures w14:val="standardContextual"/>
        </w:rPr>
        <w:t>天津</w:t>
      </w:r>
      <w:r>
        <w:rPr>
          <w:rFonts w:ascii="Times New Roman" w:hAnsi="Times New Roman" w:eastAsia="仿宋_GB2312" w:cs="Times New Roman"/>
          <w:kern w:val="2"/>
          <w:sz w:val="32"/>
          <w:szCs w:val="32"/>
          <w14:ligatures w14:val="standardContextual"/>
        </w:rPr>
        <w:t>科技金融相关政策落实情况</w:t>
      </w:r>
      <w:r>
        <w:rPr>
          <w:rFonts w:hint="eastAsia" w:ascii="Times New Roman" w:hAnsi="Times New Roman" w:eastAsia="仿宋_GB2312" w:cs="Times New Roman"/>
          <w:kern w:val="2"/>
          <w:sz w:val="32"/>
          <w:szCs w:val="32"/>
          <w14:ligatures w14:val="standardContextual"/>
        </w:rPr>
        <w:t>调研分析</w:t>
      </w:r>
      <w:r>
        <w:rPr>
          <w:rFonts w:ascii="Times New Roman" w:hAnsi="Times New Roman" w:eastAsia="仿宋_GB2312" w:cs="Times New Roman"/>
          <w:kern w:val="2"/>
          <w:sz w:val="32"/>
          <w:szCs w:val="32"/>
          <w14:ligatures w14:val="standardContextual"/>
        </w:rPr>
        <w:t>，凝练</w:t>
      </w:r>
      <w:r>
        <w:rPr>
          <w:rFonts w:hint="eastAsia" w:ascii="Times New Roman" w:hAnsi="Times New Roman" w:eastAsia="仿宋_GB2312" w:cs="Times New Roman"/>
          <w:kern w:val="2"/>
          <w:sz w:val="32"/>
          <w:szCs w:val="32"/>
          <w14:ligatures w14:val="standardContextual"/>
        </w:rPr>
        <w:t>科技</w:t>
      </w:r>
      <w:r>
        <w:rPr>
          <w:rFonts w:ascii="Times New Roman" w:hAnsi="Times New Roman" w:eastAsia="仿宋_GB2312" w:cs="Times New Roman"/>
          <w:kern w:val="2"/>
          <w:sz w:val="32"/>
          <w:szCs w:val="32"/>
          <w14:ligatures w14:val="standardContextual"/>
        </w:rPr>
        <w:t>金融支持科技创新的成效及经验，深入剖析存在短板不足；2.</w:t>
      </w:r>
      <w:r>
        <w:rPr>
          <w:rFonts w:hint="eastAsia" w:ascii="Times New Roman" w:hAnsi="Times New Roman" w:eastAsia="仿宋_GB2312" w:cs="Times New Roman"/>
          <w:kern w:val="2"/>
          <w:sz w:val="32"/>
          <w:szCs w:val="32"/>
          <w14:ligatures w14:val="standardContextual"/>
        </w:rPr>
        <w:t>立足构建同科技创新相适应的科技金融体制，</w:t>
      </w:r>
      <w:r>
        <w:rPr>
          <w:rFonts w:ascii="Times New Roman" w:hAnsi="Times New Roman" w:eastAsia="仿宋_GB2312" w:cs="Times New Roman"/>
          <w:kern w:val="2"/>
          <w:sz w:val="32"/>
          <w:szCs w:val="32"/>
          <w14:ligatures w14:val="standardContextual"/>
        </w:rPr>
        <w:t>聚焦科技创新全链条、科技型企业全生命周期金融需求，</w:t>
      </w:r>
      <w:r>
        <w:rPr>
          <w:rFonts w:hint="eastAsia" w:ascii="Times New Roman" w:hAnsi="Times New Roman" w:eastAsia="仿宋_GB2312" w:cs="Times New Roman"/>
          <w:kern w:val="2"/>
          <w:sz w:val="32"/>
          <w:szCs w:val="32"/>
          <w14:ligatures w14:val="standardContextual"/>
        </w:rPr>
        <w:t>提出</w:t>
      </w:r>
      <w:r>
        <w:rPr>
          <w:rFonts w:ascii="Times New Roman" w:hAnsi="Times New Roman" w:eastAsia="仿宋_GB2312" w:cs="Times New Roman"/>
          <w:kern w:val="2"/>
          <w:sz w:val="32"/>
          <w:szCs w:val="32"/>
          <w14:ligatures w14:val="standardContextual"/>
        </w:rPr>
        <w:t>创业投资、银行信贷、资本市场、科技保险、科技租赁等工具体系</w:t>
      </w:r>
      <w:r>
        <w:rPr>
          <w:rFonts w:hint="eastAsia" w:ascii="Times New Roman" w:hAnsi="Times New Roman" w:eastAsia="仿宋_GB2312" w:cs="Times New Roman"/>
          <w:kern w:val="2"/>
          <w:sz w:val="32"/>
          <w:szCs w:val="32"/>
          <w14:ligatures w14:val="standardContextual"/>
        </w:rPr>
        <w:t>优化路径建议</w:t>
      </w:r>
      <w:r>
        <w:rPr>
          <w:rFonts w:ascii="Times New Roman" w:hAnsi="Times New Roman" w:eastAsia="仿宋_GB2312" w:cs="Times New Roman"/>
          <w:kern w:val="2"/>
          <w:sz w:val="32"/>
          <w:szCs w:val="32"/>
          <w14:ligatures w14:val="standardContextual"/>
        </w:rPr>
        <w:t>；3.围绕强化数智驱动、优化企业画像、推进信息共享、促进跨部门跨机构协同等，</w:t>
      </w:r>
      <w:r>
        <w:rPr>
          <w:rFonts w:hint="eastAsia" w:ascii="Times New Roman" w:hAnsi="Times New Roman" w:eastAsia="仿宋_GB2312" w:cs="Times New Roman"/>
          <w:kern w:val="2"/>
          <w:sz w:val="32"/>
          <w:szCs w:val="32"/>
          <w14:ligatures w14:val="standardContextual"/>
        </w:rPr>
        <w:t>探索提出</w:t>
      </w:r>
      <w:r>
        <w:rPr>
          <w:rFonts w:ascii="Times New Roman" w:hAnsi="Times New Roman" w:eastAsia="仿宋_GB2312" w:cs="Times New Roman"/>
          <w:kern w:val="2"/>
          <w:sz w:val="32"/>
          <w:szCs w:val="32"/>
          <w14:ligatures w14:val="standardContextual"/>
        </w:rPr>
        <w:t>相关机制与制度安排</w:t>
      </w:r>
      <w:r>
        <w:rPr>
          <w:rFonts w:hint="eastAsia" w:ascii="Times New Roman" w:hAnsi="Times New Roman" w:eastAsia="仿宋_GB2312" w:cs="Times New Roman"/>
          <w:kern w:val="2"/>
          <w:sz w:val="32"/>
          <w:szCs w:val="32"/>
          <w14:ligatures w14:val="standardContextual"/>
        </w:rPr>
        <w:t>对策建议</w:t>
      </w:r>
      <w:r>
        <w:rPr>
          <w:rFonts w:ascii="Times New Roman" w:hAnsi="Times New Roman" w:eastAsia="仿宋_GB2312" w:cs="Times New Roman"/>
          <w:kern w:val="2"/>
          <w:sz w:val="32"/>
          <w:szCs w:val="32"/>
          <w14:ligatures w14:val="standardContextual"/>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22.</w:t>
      </w:r>
      <w:r>
        <w:rPr>
          <w:rFonts w:ascii="Times New Roman" w:hAnsi="Times New Roman" w:eastAsia="仿宋_GB2312" w:cs="Times New Roman"/>
          <w:b/>
          <w:bCs/>
          <w:snapToGrid w:val="0"/>
          <w:sz w:val="32"/>
          <w:szCs w:val="32"/>
        </w:rPr>
        <w:t>“创新积分制”</w:t>
      </w:r>
      <w:r>
        <w:rPr>
          <w:rFonts w:hint="eastAsia" w:ascii="Times New Roman" w:hAnsi="Times New Roman" w:eastAsia="仿宋_GB2312" w:cs="Times New Roman"/>
          <w:b/>
          <w:bCs/>
          <w:snapToGrid w:val="0"/>
          <w:sz w:val="32"/>
          <w:szCs w:val="32"/>
        </w:rPr>
        <w:t>天津特色</w:t>
      </w:r>
      <w:r>
        <w:rPr>
          <w:rFonts w:ascii="Times New Roman" w:hAnsi="Times New Roman" w:eastAsia="仿宋_GB2312" w:cs="Times New Roman"/>
          <w:b/>
          <w:bCs/>
          <w:snapToGrid w:val="0"/>
          <w:sz w:val="32"/>
          <w:szCs w:val="32"/>
        </w:rPr>
        <w:t>指标体系构建</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1.开展天津</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创新积分制</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通用指标体系迭代研究，</w:t>
      </w:r>
      <w:r>
        <w:rPr>
          <w:rFonts w:hint="eastAsia" w:ascii="Times New Roman" w:hAnsi="Times New Roman" w:eastAsia="仿宋_GB2312" w:cs="Times New Roman"/>
          <w:snapToGrid w:val="0"/>
          <w:sz w:val="32"/>
          <w:szCs w:val="32"/>
        </w:rPr>
        <w:t>提出进一步</w:t>
      </w:r>
      <w:r>
        <w:rPr>
          <w:rFonts w:ascii="Times New Roman" w:hAnsi="Times New Roman" w:eastAsia="仿宋_GB2312" w:cs="Times New Roman"/>
          <w:snapToGrid w:val="0"/>
          <w:sz w:val="32"/>
          <w:szCs w:val="32"/>
        </w:rPr>
        <w:t>优化指标架构、统计口径与权重配置</w:t>
      </w:r>
      <w:r>
        <w:rPr>
          <w:rFonts w:hint="eastAsia" w:ascii="Times New Roman" w:hAnsi="Times New Roman" w:eastAsia="仿宋_GB2312" w:cs="Times New Roman"/>
          <w:snapToGrid w:val="0"/>
          <w:sz w:val="32"/>
          <w:szCs w:val="32"/>
        </w:rPr>
        <w:t>等对策建议</w:t>
      </w:r>
      <w:r>
        <w:rPr>
          <w:rFonts w:ascii="Times New Roman" w:hAnsi="Times New Roman" w:eastAsia="仿宋_GB2312" w:cs="Times New Roman"/>
          <w:snapToGrid w:val="0"/>
          <w:sz w:val="32"/>
          <w:szCs w:val="32"/>
        </w:rPr>
        <w:t>，实现地方科创评价机制与国家制度体系有效衔接；2.开展生物医药产业差异化评价体系研究，</w:t>
      </w:r>
      <w:r>
        <w:rPr>
          <w:rFonts w:hint="eastAsia" w:ascii="Times New Roman" w:hAnsi="Times New Roman" w:eastAsia="仿宋_GB2312" w:cs="Times New Roman"/>
          <w:snapToGrid w:val="0"/>
          <w:sz w:val="32"/>
          <w:szCs w:val="32"/>
        </w:rPr>
        <w:t>提出</w:t>
      </w:r>
      <w:r>
        <w:rPr>
          <w:rFonts w:ascii="Times New Roman" w:hAnsi="Times New Roman" w:eastAsia="仿宋_GB2312" w:cs="Times New Roman"/>
          <w:snapToGrid w:val="0"/>
          <w:sz w:val="32"/>
          <w:szCs w:val="32"/>
        </w:rPr>
        <w:t>产业专属评价维度与差异化权重标准</w:t>
      </w:r>
      <w:r>
        <w:rPr>
          <w:rFonts w:hint="eastAsia" w:ascii="Times New Roman" w:hAnsi="Times New Roman" w:eastAsia="仿宋_GB2312" w:cs="Times New Roman"/>
          <w:snapToGrid w:val="0"/>
          <w:sz w:val="32"/>
          <w:szCs w:val="32"/>
        </w:rPr>
        <w:t>等建议</w:t>
      </w:r>
      <w:r>
        <w:rPr>
          <w:rFonts w:ascii="Times New Roman" w:hAnsi="Times New Roman" w:eastAsia="仿宋_GB2312" w:cs="Times New Roman"/>
          <w:snapToGrid w:val="0"/>
          <w:sz w:val="32"/>
          <w:szCs w:val="32"/>
        </w:rPr>
        <w:t>；3.</w:t>
      </w:r>
      <w:r>
        <w:rPr>
          <w:rFonts w:hint="eastAsia" w:ascii="Times New Roman" w:hAnsi="Times New Roman" w:eastAsia="仿宋_GB2312" w:cs="Times New Roman"/>
          <w:snapToGrid w:val="0"/>
          <w:sz w:val="32"/>
          <w:szCs w:val="32"/>
        </w:rPr>
        <w:t>研究</w:t>
      </w:r>
      <w:r>
        <w:rPr>
          <w:rFonts w:ascii="Times New Roman" w:hAnsi="Times New Roman" w:eastAsia="仿宋_GB2312" w:cs="Times New Roman"/>
          <w:snapToGrid w:val="0"/>
          <w:sz w:val="32"/>
          <w:szCs w:val="32"/>
        </w:rPr>
        <w:t>搭建“定量测评+定性研判”双维评价模型，</w:t>
      </w:r>
      <w:r>
        <w:rPr>
          <w:rFonts w:hint="eastAsia" w:ascii="Times New Roman" w:hAnsi="Times New Roman" w:eastAsia="仿宋_GB2312" w:cs="Times New Roman"/>
          <w:snapToGrid w:val="0"/>
          <w:sz w:val="32"/>
          <w:szCs w:val="32"/>
        </w:rPr>
        <w:t>提出</w:t>
      </w:r>
      <w:r>
        <w:rPr>
          <w:rFonts w:ascii="Times New Roman" w:hAnsi="Times New Roman" w:eastAsia="仿宋_GB2312" w:cs="Times New Roman"/>
          <w:snapToGrid w:val="0"/>
          <w:sz w:val="32"/>
          <w:szCs w:val="32"/>
        </w:rPr>
        <w:t>探索创新积分评价成果转化应用</w:t>
      </w:r>
      <w:r>
        <w:rPr>
          <w:rFonts w:hint="eastAsia" w:ascii="Times New Roman" w:hAnsi="Times New Roman" w:eastAsia="仿宋_GB2312" w:cs="Times New Roman"/>
          <w:snapToGrid w:val="0"/>
          <w:sz w:val="32"/>
          <w:szCs w:val="32"/>
        </w:rPr>
        <w:t>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23</w:t>
      </w:r>
      <w:r>
        <w:rPr>
          <w:rFonts w:ascii="Times New Roman" w:hAnsi="Times New Roman" w:eastAsia="仿宋_GB2312" w:cs="Times New Roman"/>
          <w:b/>
          <w:bCs/>
          <w:snapToGrid w:val="0"/>
          <w:sz w:val="32"/>
          <w:szCs w:val="32"/>
        </w:rPr>
        <w:t>.</w:t>
      </w:r>
      <w:r>
        <w:rPr>
          <w:rFonts w:hint="eastAsia" w:ascii="Times New Roman" w:hAnsi="Times New Roman" w:eastAsia="仿宋_GB2312" w:cs="Times New Roman"/>
          <w:b/>
          <w:bCs/>
          <w:snapToGrid w:val="0"/>
          <w:sz w:val="32"/>
          <w:szCs w:val="32"/>
        </w:rPr>
        <w:t>科技租赁赋能天津战略性新兴产业和未来产业对策研究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1.梳理天津科技租赁发展现状与制度基础，</w:t>
      </w:r>
      <w:r>
        <w:rPr>
          <w:rFonts w:hint="eastAsia" w:ascii="Times New Roman" w:hAnsi="Times New Roman" w:eastAsia="仿宋_GB2312" w:cs="Times New Roman"/>
          <w:snapToGrid w:val="0"/>
          <w:sz w:val="32"/>
          <w:szCs w:val="32"/>
        </w:rPr>
        <w:t>分析</w:t>
      </w:r>
      <w:r>
        <w:rPr>
          <w:rFonts w:ascii="Times New Roman" w:hAnsi="Times New Roman" w:eastAsia="仿宋_GB2312" w:cs="Times New Roman"/>
          <w:snapToGrid w:val="0"/>
          <w:sz w:val="32"/>
          <w:szCs w:val="32"/>
        </w:rPr>
        <w:t>国家租赁创新示范区、自贸区、东疆综保区叠加优势；2.剖析科技租赁“融物+融资”双重功能作用于战略性新兴产业和未来产业的传导机制，</w:t>
      </w:r>
      <w:r>
        <w:rPr>
          <w:rFonts w:hint="eastAsia" w:ascii="Times New Roman" w:hAnsi="Times New Roman" w:eastAsia="仿宋_GB2312" w:cs="Times New Roman"/>
          <w:snapToGrid w:val="0"/>
          <w:sz w:val="32"/>
          <w:szCs w:val="32"/>
        </w:rPr>
        <w:t>借鉴京沪</w:t>
      </w:r>
      <w:r>
        <w:rPr>
          <w:rFonts w:ascii="Times New Roman" w:hAnsi="Times New Roman" w:eastAsia="仿宋_GB2312" w:cs="Times New Roman"/>
          <w:snapToGrid w:val="0"/>
          <w:sz w:val="32"/>
          <w:szCs w:val="32"/>
        </w:rPr>
        <w:t>先进经验</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提炼可推广政策工具；3.围绕算力设备经营性租赁、软硬件一体化租赁、先租后股等模式，设计“租赁+”组合工具，提出财政贴息、风险补偿、监管沙盒等</w:t>
      </w:r>
      <w:r>
        <w:rPr>
          <w:rFonts w:hint="eastAsia" w:ascii="Times New Roman" w:hAnsi="Times New Roman" w:eastAsia="仿宋_GB2312" w:cs="Times New Roman"/>
          <w:snapToGrid w:val="0"/>
          <w:sz w:val="32"/>
          <w:szCs w:val="32"/>
        </w:rPr>
        <w:t>对策</w:t>
      </w:r>
      <w:r>
        <w:rPr>
          <w:rFonts w:ascii="Times New Roman" w:hAnsi="Times New Roman" w:eastAsia="仿宋_GB2312" w:cs="Times New Roman"/>
          <w:snapToGrid w:val="0"/>
          <w:sz w:val="32"/>
          <w:szCs w:val="32"/>
        </w:rPr>
        <w:t>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24.</w:t>
      </w:r>
      <w:r>
        <w:rPr>
          <w:rFonts w:ascii="Times New Roman" w:hAnsi="Times New Roman" w:eastAsia="仿宋_GB2312" w:cs="Times New Roman"/>
          <w:b/>
          <w:bCs/>
          <w:snapToGrid w:val="0"/>
          <w:sz w:val="32"/>
          <w:szCs w:val="32"/>
        </w:rPr>
        <w:t>基于专利计量分析的天津科技成果转化</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1.归集全市创新主体专利数据，围绕技术领域、产业适配度、技术成熟度、市场价值、转化活跃度开展计量分析，厘清专利储备结构与资源分布特征；2.对标先进</w:t>
      </w:r>
      <w:r>
        <w:rPr>
          <w:rFonts w:hint="eastAsia" w:ascii="Times New Roman" w:hAnsi="Times New Roman" w:eastAsia="仿宋_GB2312" w:cs="Times New Roman"/>
          <w:snapToGrid w:val="0"/>
          <w:sz w:val="32"/>
          <w:szCs w:val="32"/>
        </w:rPr>
        <w:t>省市经验，梳理</w:t>
      </w:r>
      <w:r>
        <w:rPr>
          <w:rFonts w:ascii="Times New Roman" w:hAnsi="Times New Roman" w:eastAsia="仿宋_GB2312" w:cs="Times New Roman"/>
          <w:snapToGrid w:val="0"/>
          <w:sz w:val="32"/>
          <w:szCs w:val="32"/>
        </w:rPr>
        <w:t>专利研发与产业需求、产业链匹配度、产学研协同转化等问题短板；3.立足天津重点产业布局，从专利培育、专利产业链匹配、转化平台搭建、激励政策完善等维度，</w:t>
      </w:r>
      <w:r>
        <w:rPr>
          <w:rFonts w:hint="eastAsia" w:ascii="Times New Roman" w:hAnsi="Times New Roman" w:eastAsia="仿宋_GB2312" w:cs="Times New Roman"/>
          <w:snapToGrid w:val="0"/>
          <w:sz w:val="32"/>
          <w:szCs w:val="32"/>
        </w:rPr>
        <w:t>提出</w:t>
      </w:r>
      <w:r>
        <w:rPr>
          <w:rFonts w:ascii="Times New Roman" w:hAnsi="Times New Roman" w:eastAsia="仿宋_GB2312" w:cs="Times New Roman"/>
          <w:snapToGrid w:val="0"/>
          <w:sz w:val="32"/>
          <w:szCs w:val="32"/>
        </w:rPr>
        <w:t>差异化转化</w:t>
      </w:r>
      <w:r>
        <w:rPr>
          <w:rFonts w:hint="eastAsia" w:ascii="Times New Roman" w:hAnsi="Times New Roman" w:eastAsia="仿宋_GB2312" w:cs="Times New Roman"/>
          <w:snapToGrid w:val="0"/>
          <w:sz w:val="32"/>
          <w:szCs w:val="32"/>
        </w:rPr>
        <w:t>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25.</w:t>
      </w:r>
      <w:r>
        <w:rPr>
          <w:rFonts w:ascii="Times New Roman" w:hAnsi="Times New Roman" w:eastAsia="仿宋_GB2312" w:cs="Times New Roman"/>
          <w:b/>
          <w:bCs/>
          <w:snapToGrid w:val="0"/>
          <w:sz w:val="32"/>
          <w:szCs w:val="32"/>
        </w:rPr>
        <w:t>天津科技服务业价值链高端新领域、新赛道研究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 1.梳理科技服务业</w:t>
      </w:r>
      <w:r>
        <w:rPr>
          <w:rFonts w:hint="eastAsia" w:ascii="Times New Roman" w:hAnsi="Times New Roman" w:eastAsia="仿宋_GB2312" w:cs="Times New Roman"/>
          <w:snapToGrid w:val="0"/>
          <w:sz w:val="32"/>
          <w:szCs w:val="32"/>
        </w:rPr>
        <w:t>升级</w:t>
      </w:r>
      <w:r>
        <w:rPr>
          <w:rFonts w:ascii="Times New Roman" w:hAnsi="Times New Roman" w:eastAsia="仿宋_GB2312" w:cs="Times New Roman"/>
          <w:snapToGrid w:val="0"/>
          <w:sz w:val="32"/>
          <w:szCs w:val="32"/>
        </w:rPr>
        <w:t>共性规律，分析其与技术迭代周期、产业生命周期的关系；2.分析国内外典型案例，</w:t>
      </w:r>
      <w:r>
        <w:rPr>
          <w:rFonts w:hint="eastAsia" w:ascii="Times New Roman" w:hAnsi="Times New Roman" w:eastAsia="仿宋_GB2312" w:cs="Times New Roman"/>
          <w:snapToGrid w:val="0"/>
          <w:sz w:val="32"/>
          <w:szCs w:val="32"/>
        </w:rPr>
        <w:t>研判</w:t>
      </w:r>
      <w:r>
        <w:rPr>
          <w:rFonts w:ascii="Times New Roman" w:hAnsi="Times New Roman" w:eastAsia="仿宋_GB2312" w:cs="Times New Roman"/>
          <w:snapToGrid w:val="0"/>
          <w:sz w:val="32"/>
          <w:szCs w:val="32"/>
        </w:rPr>
        <w:t>战略性新兴产业、未来产业催生新兴服务业态生成逻辑；3.</w:t>
      </w:r>
      <w:r>
        <w:rPr>
          <w:rFonts w:hint="eastAsia" w:ascii="Times New Roman" w:hAnsi="Times New Roman" w:eastAsia="仿宋_GB2312" w:cs="Times New Roman"/>
          <w:snapToGrid w:val="0"/>
          <w:sz w:val="32"/>
          <w:szCs w:val="32"/>
        </w:rPr>
        <w:t>研究分析</w:t>
      </w:r>
      <w:r>
        <w:rPr>
          <w:rFonts w:ascii="Times New Roman" w:hAnsi="Times New Roman" w:eastAsia="仿宋_GB2312" w:cs="Times New Roman"/>
          <w:snapToGrid w:val="0"/>
          <w:sz w:val="32"/>
          <w:szCs w:val="32"/>
        </w:rPr>
        <w:t>天津科技服务业基础，提出价值链高端新领域、新赛道</w:t>
      </w:r>
      <w:r>
        <w:rPr>
          <w:rFonts w:hint="eastAsia" w:ascii="Times New Roman" w:hAnsi="Times New Roman" w:eastAsia="仿宋_GB2312" w:cs="Times New Roman"/>
          <w:snapToGrid w:val="0"/>
          <w:sz w:val="32"/>
          <w:szCs w:val="32"/>
        </w:rPr>
        <w:t>及</w:t>
      </w:r>
      <w:r>
        <w:rPr>
          <w:rFonts w:ascii="Times New Roman" w:hAnsi="Times New Roman" w:eastAsia="仿宋_GB2312" w:cs="Times New Roman"/>
          <w:snapToGrid w:val="0"/>
          <w:sz w:val="32"/>
          <w:szCs w:val="32"/>
        </w:rPr>
        <w:t>优先布局细分领域；4.从赛道布局、企业梯次培育、载体平台建设、投融资支持、人才引育等方面提出实施路径与配套</w:t>
      </w:r>
      <w:r>
        <w:rPr>
          <w:rFonts w:hint="eastAsia" w:ascii="Times New Roman" w:hAnsi="Times New Roman" w:eastAsia="仿宋_GB2312" w:cs="Times New Roman"/>
          <w:snapToGrid w:val="0"/>
          <w:sz w:val="32"/>
          <w:szCs w:val="32"/>
        </w:rPr>
        <w:t>对策</w:t>
      </w:r>
      <w:r>
        <w:rPr>
          <w:rFonts w:ascii="Times New Roman" w:hAnsi="Times New Roman" w:eastAsia="仿宋_GB2312" w:cs="Times New Roman"/>
          <w:snapToGrid w:val="0"/>
          <w:sz w:val="32"/>
          <w:szCs w:val="32"/>
        </w:rPr>
        <w:t>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26.</w:t>
      </w:r>
      <w:r>
        <w:rPr>
          <w:rFonts w:ascii="Times New Roman" w:hAnsi="Times New Roman" w:eastAsia="仿宋_GB2312" w:cs="Times New Roman"/>
          <w:b/>
          <w:bCs/>
          <w:snapToGrid w:val="0"/>
          <w:sz w:val="32"/>
          <w:szCs w:val="32"/>
        </w:rPr>
        <w:t>强化知识产权保护视域下天津高端装备产业创新发展</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1.调研天津高端装备重点产业</w:t>
      </w:r>
      <w:r>
        <w:rPr>
          <w:rFonts w:hint="eastAsia" w:ascii="Times New Roman" w:hAnsi="Times New Roman" w:eastAsia="仿宋_GB2312" w:cs="Times New Roman"/>
          <w:snapToGrid w:val="0"/>
          <w:sz w:val="32"/>
          <w:szCs w:val="32"/>
        </w:rPr>
        <w:t>知识产权</w:t>
      </w:r>
      <w:r>
        <w:rPr>
          <w:rFonts w:ascii="Times New Roman" w:hAnsi="Times New Roman" w:eastAsia="仿宋_GB2312" w:cs="Times New Roman"/>
          <w:snapToGrid w:val="0"/>
          <w:sz w:val="32"/>
          <w:szCs w:val="32"/>
        </w:rPr>
        <w:t>现状，分析产业链优势及薄弱环节；2.</w:t>
      </w:r>
      <w:r>
        <w:rPr>
          <w:rFonts w:hint="eastAsia" w:ascii="Times New Roman" w:hAnsi="Times New Roman" w:eastAsia="仿宋_GB2312" w:cs="Times New Roman"/>
          <w:snapToGrid w:val="0"/>
          <w:sz w:val="32"/>
          <w:szCs w:val="32"/>
        </w:rPr>
        <w:t>开展重</w:t>
      </w:r>
      <w:r>
        <w:rPr>
          <w:rFonts w:ascii="Times New Roman" w:hAnsi="Times New Roman" w:eastAsia="仿宋_GB2312" w:cs="Times New Roman"/>
          <w:snapToGrid w:val="0"/>
          <w:sz w:val="32"/>
          <w:szCs w:val="32"/>
        </w:rPr>
        <w:t>点细分领域</w:t>
      </w:r>
      <w:r>
        <w:rPr>
          <w:rFonts w:hint="eastAsia" w:ascii="Times New Roman" w:hAnsi="Times New Roman" w:eastAsia="仿宋_GB2312" w:cs="Times New Roman"/>
          <w:snapToGrid w:val="0"/>
          <w:sz w:val="32"/>
          <w:szCs w:val="32"/>
        </w:rPr>
        <w:t>专利数据分析，研判</w:t>
      </w:r>
      <w:r>
        <w:rPr>
          <w:rFonts w:ascii="Times New Roman" w:hAnsi="Times New Roman" w:eastAsia="仿宋_GB2312" w:cs="Times New Roman"/>
          <w:snapToGrid w:val="0"/>
          <w:sz w:val="32"/>
          <w:szCs w:val="32"/>
        </w:rPr>
        <w:t>国内外专利竞争格局</w:t>
      </w:r>
      <w:r>
        <w:rPr>
          <w:rFonts w:hint="eastAsia" w:ascii="Times New Roman" w:hAnsi="Times New Roman" w:eastAsia="仿宋_GB2312" w:cs="Times New Roman"/>
          <w:snapToGrid w:val="0"/>
          <w:sz w:val="32"/>
          <w:szCs w:val="32"/>
        </w:rPr>
        <w:t>与</w:t>
      </w:r>
      <w:r>
        <w:rPr>
          <w:rFonts w:ascii="Times New Roman" w:hAnsi="Times New Roman" w:eastAsia="仿宋_GB2312" w:cs="Times New Roman"/>
          <w:snapToGrid w:val="0"/>
          <w:sz w:val="32"/>
          <w:szCs w:val="32"/>
        </w:rPr>
        <w:t>技术热点方向；3.提出强链补链、企业帮扶、人才引进、京津冀协同创新等对策建议。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27.科技创新</w:t>
      </w:r>
      <w:r>
        <w:rPr>
          <w:rFonts w:ascii="Times New Roman" w:hAnsi="Times New Roman" w:eastAsia="仿宋_GB2312" w:cs="Times New Roman"/>
          <w:b/>
          <w:bCs/>
          <w:snapToGrid w:val="0"/>
          <w:sz w:val="32"/>
          <w:szCs w:val="32"/>
        </w:rPr>
        <w:t>资源</w:t>
      </w:r>
      <w:r>
        <w:rPr>
          <w:rFonts w:hint="eastAsia" w:ascii="Times New Roman" w:hAnsi="Times New Roman" w:eastAsia="仿宋_GB2312" w:cs="Times New Roman"/>
          <w:b/>
          <w:bCs/>
          <w:snapToGrid w:val="0"/>
          <w:sz w:val="32"/>
          <w:szCs w:val="32"/>
        </w:rPr>
        <w:t>支撑院士团队</w:t>
      </w:r>
      <w:r>
        <w:rPr>
          <w:rFonts w:ascii="Times New Roman" w:hAnsi="Times New Roman" w:eastAsia="仿宋_GB2312" w:cs="Times New Roman"/>
          <w:b/>
          <w:bCs/>
          <w:snapToGrid w:val="0"/>
          <w:sz w:val="32"/>
          <w:szCs w:val="32"/>
        </w:rPr>
        <w:t>赋能天津</w:t>
      </w:r>
      <w:r>
        <w:rPr>
          <w:rFonts w:hint="eastAsia" w:ascii="Times New Roman" w:hAnsi="Times New Roman" w:eastAsia="仿宋_GB2312" w:cs="Times New Roman"/>
          <w:b/>
          <w:bCs/>
          <w:snapToGrid w:val="0"/>
          <w:sz w:val="32"/>
          <w:szCs w:val="32"/>
        </w:rPr>
        <w:t>产业创新对策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1.梳理在津两院院士</w:t>
      </w:r>
      <w:r>
        <w:rPr>
          <w:rFonts w:hint="eastAsia" w:ascii="Times New Roman" w:hAnsi="Times New Roman" w:eastAsia="仿宋_GB2312" w:cs="Times New Roman"/>
          <w:snapToGrid w:val="0"/>
          <w:sz w:val="32"/>
          <w:szCs w:val="32"/>
        </w:rPr>
        <w:t>及其</w:t>
      </w:r>
      <w:r>
        <w:rPr>
          <w:rFonts w:ascii="Times New Roman" w:hAnsi="Times New Roman" w:eastAsia="仿宋_GB2312" w:cs="Times New Roman"/>
          <w:snapToGrid w:val="0"/>
          <w:sz w:val="32"/>
          <w:szCs w:val="32"/>
        </w:rPr>
        <w:t>人才团队、技术攻关、成果转化、项目承担、平台建设等情况，分析院士资源赋能产业发展现状与成效；2.调研先进省市院士合作模式、成果转化路径、科创载体建设、产业对接渠道、人才培养方式等，凝练可借鉴经验与制度创新做法；3.从院士资源与人才、项目、平台、企业、园区等科技要素协同角度，提出“院士+”科创资源服务天津</w:t>
      </w:r>
      <w:r>
        <w:rPr>
          <w:rFonts w:hint="eastAsia" w:ascii="Times New Roman" w:hAnsi="Times New Roman" w:eastAsia="仿宋_GB2312" w:cs="Times New Roman"/>
          <w:snapToGrid w:val="0"/>
          <w:sz w:val="32"/>
          <w:szCs w:val="32"/>
        </w:rPr>
        <w:t>产业</w:t>
      </w:r>
      <w:r>
        <w:rPr>
          <w:rFonts w:ascii="Times New Roman" w:hAnsi="Times New Roman" w:eastAsia="仿宋_GB2312" w:cs="Times New Roman"/>
          <w:snapToGrid w:val="0"/>
          <w:sz w:val="32"/>
          <w:szCs w:val="32"/>
        </w:rPr>
        <w:t>发展</w:t>
      </w:r>
      <w:r>
        <w:rPr>
          <w:rFonts w:hint="eastAsia" w:ascii="Times New Roman" w:hAnsi="Times New Roman" w:eastAsia="仿宋_GB2312" w:cs="Times New Roman"/>
          <w:snapToGrid w:val="0"/>
          <w:sz w:val="32"/>
          <w:szCs w:val="32"/>
        </w:rPr>
        <w:t>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28</w:t>
      </w:r>
      <w:r>
        <w:rPr>
          <w:rFonts w:ascii="Times New Roman" w:hAnsi="Times New Roman" w:eastAsia="仿宋_GB2312" w:cs="Times New Roman"/>
          <w:b/>
          <w:bCs/>
          <w:snapToGrid w:val="0"/>
          <w:sz w:val="32"/>
          <w:szCs w:val="32"/>
        </w:rPr>
        <w:t>.天津外国人劳动力市场测试制度研究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1.梳理天津外国人来华工作管理情况，分析现行审批流程与实际问题，</w:t>
      </w:r>
      <w:r>
        <w:rPr>
          <w:rFonts w:hint="eastAsia" w:ascii="Times New Roman" w:hAnsi="Times New Roman" w:eastAsia="仿宋_GB2312" w:cs="Times New Roman"/>
          <w:snapToGrid w:val="0"/>
          <w:sz w:val="32"/>
          <w:szCs w:val="32"/>
        </w:rPr>
        <w:t>研究分析</w:t>
      </w:r>
      <w:r>
        <w:rPr>
          <w:rFonts w:ascii="Times New Roman" w:hAnsi="Times New Roman" w:eastAsia="仿宋_GB2312" w:cs="Times New Roman"/>
          <w:snapToGrid w:val="0"/>
          <w:sz w:val="32"/>
          <w:szCs w:val="32"/>
        </w:rPr>
        <w:t>天津作为</w:t>
      </w:r>
      <w:r>
        <w:rPr>
          <w:rFonts w:ascii="Times New Roman" w:hAnsi="Times New Roman" w:eastAsia="仿宋_GB2312" w:cs="Times New Roman"/>
          <w:snapToGrid w:val="0"/>
          <w:sz w:val="32"/>
          <w:szCs w:val="32"/>
          <w:lang w:val="en"/>
        </w:rPr>
        <w:t>全国劳动力市场测试制度</w:t>
      </w:r>
      <w:r>
        <w:rPr>
          <w:rFonts w:ascii="Times New Roman" w:hAnsi="Times New Roman" w:eastAsia="仿宋_GB2312" w:cs="Times New Roman"/>
          <w:snapToGrid w:val="0"/>
          <w:sz w:val="32"/>
          <w:szCs w:val="32"/>
        </w:rPr>
        <w:t>试点城市的基础条件和制度需求；2.研究适用天津的</w:t>
      </w:r>
      <w:r>
        <w:rPr>
          <w:rFonts w:hint="eastAsia" w:ascii="Times New Roman" w:hAnsi="Times New Roman" w:eastAsia="仿宋_GB2312" w:cs="Times New Roman"/>
          <w:snapToGrid w:val="0"/>
          <w:sz w:val="32"/>
          <w:szCs w:val="32"/>
        </w:rPr>
        <w:t>外国人</w:t>
      </w:r>
      <w:r>
        <w:rPr>
          <w:rFonts w:ascii="Times New Roman" w:hAnsi="Times New Roman" w:eastAsia="仿宋_GB2312" w:cs="Times New Roman"/>
          <w:snapToGrid w:val="0"/>
          <w:sz w:val="32"/>
          <w:szCs w:val="32"/>
        </w:rPr>
        <w:t>劳动力市场测试制度框架，</w:t>
      </w:r>
      <w:r>
        <w:rPr>
          <w:rFonts w:hint="eastAsia" w:ascii="Times New Roman" w:hAnsi="Times New Roman" w:eastAsia="仿宋_GB2312" w:cs="Times New Roman"/>
          <w:snapToGrid w:val="0"/>
          <w:sz w:val="32"/>
          <w:szCs w:val="32"/>
        </w:rPr>
        <w:t>围绕</w:t>
      </w:r>
      <w:r>
        <w:rPr>
          <w:rFonts w:ascii="Times New Roman" w:hAnsi="Times New Roman" w:eastAsia="仿宋_GB2312" w:cs="Times New Roman"/>
          <w:snapToGrid w:val="0"/>
          <w:sz w:val="32"/>
          <w:szCs w:val="32"/>
        </w:rPr>
        <w:t>适用对象、分类标准、测试流程等核心要素</w:t>
      </w:r>
      <w:r>
        <w:rPr>
          <w:rFonts w:hint="eastAsia" w:ascii="Times New Roman" w:hAnsi="Times New Roman" w:eastAsia="仿宋_GB2312" w:cs="Times New Roman"/>
          <w:snapToGrid w:val="0"/>
          <w:sz w:val="32"/>
          <w:szCs w:val="32"/>
        </w:rPr>
        <w:t>提出</w:t>
      </w:r>
      <w:r>
        <w:rPr>
          <w:rFonts w:ascii="Times New Roman" w:hAnsi="Times New Roman" w:eastAsia="仿宋_GB2312" w:cs="Times New Roman"/>
          <w:snapToGrid w:val="0"/>
          <w:sz w:val="32"/>
          <w:szCs w:val="32"/>
        </w:rPr>
        <w:t>设计方案</w:t>
      </w:r>
      <w:r>
        <w:rPr>
          <w:rFonts w:hint="eastAsia" w:ascii="Times New Roman" w:hAnsi="Times New Roman" w:eastAsia="仿宋_GB2312" w:cs="Times New Roman"/>
          <w:snapToGrid w:val="0"/>
          <w:sz w:val="32"/>
          <w:szCs w:val="32"/>
        </w:rPr>
        <w:t>相关建议</w:t>
      </w:r>
      <w:r>
        <w:rPr>
          <w:rFonts w:ascii="Times New Roman" w:hAnsi="Times New Roman" w:eastAsia="仿宋_GB2312" w:cs="Times New Roman"/>
          <w:snapToGrid w:val="0"/>
          <w:sz w:val="32"/>
          <w:szCs w:val="32"/>
        </w:rPr>
        <w:t>；3.提出</w:t>
      </w:r>
      <w:r>
        <w:rPr>
          <w:rFonts w:hint="eastAsia" w:ascii="Times New Roman" w:hAnsi="Times New Roman" w:eastAsia="仿宋_GB2312" w:cs="Times New Roman"/>
          <w:snapToGrid w:val="0"/>
          <w:sz w:val="32"/>
          <w:szCs w:val="32"/>
        </w:rPr>
        <w:t>天津</w:t>
      </w:r>
      <w:r>
        <w:rPr>
          <w:rFonts w:ascii="Times New Roman" w:hAnsi="Times New Roman" w:eastAsia="仿宋_GB2312" w:cs="Times New Roman"/>
          <w:snapToGrid w:val="0"/>
          <w:sz w:val="32"/>
          <w:szCs w:val="32"/>
        </w:rPr>
        <w:t>外国人劳动力市场测试制度落地的实施</w:t>
      </w:r>
      <w:r>
        <w:rPr>
          <w:rFonts w:hint="eastAsia" w:ascii="Times New Roman" w:hAnsi="Times New Roman" w:eastAsia="仿宋_GB2312" w:cs="Times New Roman"/>
          <w:snapToGrid w:val="0"/>
          <w:sz w:val="32"/>
          <w:szCs w:val="32"/>
        </w:rPr>
        <w:t>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29</w:t>
      </w:r>
      <w:r>
        <w:rPr>
          <w:rFonts w:ascii="Times New Roman" w:hAnsi="Times New Roman" w:eastAsia="仿宋_GB2312" w:cs="Times New Roman"/>
          <w:b/>
          <w:bCs/>
          <w:snapToGrid w:val="0"/>
          <w:sz w:val="32"/>
          <w:szCs w:val="32"/>
        </w:rPr>
        <w:t>.扩围机遇下天津</w:t>
      </w:r>
      <w:r>
        <w:rPr>
          <w:rFonts w:hint="eastAsia" w:ascii="Times New Roman" w:hAnsi="Times New Roman" w:eastAsia="仿宋_GB2312" w:cs="Times New Roman"/>
          <w:b/>
          <w:bCs/>
          <w:snapToGrid w:val="0"/>
          <w:sz w:val="32"/>
          <w:szCs w:val="32"/>
        </w:rPr>
        <w:t>链接</w:t>
      </w:r>
      <w:r>
        <w:rPr>
          <w:rFonts w:ascii="Times New Roman" w:hAnsi="Times New Roman" w:eastAsia="仿宋_GB2312" w:cs="Times New Roman"/>
          <w:b/>
          <w:bCs/>
          <w:snapToGrid w:val="0"/>
          <w:sz w:val="32"/>
          <w:szCs w:val="32"/>
        </w:rPr>
        <w:t>全球创新资源能力提升与国际创新平台建设</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1.分析北京（京津冀）国际科技创新中心扩围赋予天津</w:t>
      </w:r>
      <w:r>
        <w:rPr>
          <w:rFonts w:hint="eastAsia" w:ascii="Times New Roman" w:hAnsi="Times New Roman" w:eastAsia="仿宋_GB2312" w:cs="Times New Roman"/>
          <w:snapToGrid w:val="0"/>
          <w:sz w:val="32"/>
          <w:szCs w:val="32"/>
        </w:rPr>
        <w:t>科技</w:t>
      </w:r>
      <w:r>
        <w:rPr>
          <w:rFonts w:ascii="Times New Roman" w:hAnsi="Times New Roman" w:eastAsia="仿宋_GB2312" w:cs="Times New Roman"/>
          <w:snapToGrid w:val="0"/>
          <w:sz w:val="32"/>
          <w:szCs w:val="32"/>
        </w:rPr>
        <w:t>的战略优势；2.梳理天津国际科技合作成效，</w:t>
      </w:r>
      <w:r>
        <w:rPr>
          <w:rFonts w:hint="eastAsia" w:ascii="Times New Roman" w:hAnsi="Times New Roman" w:eastAsia="仿宋_GB2312" w:cs="Times New Roman"/>
          <w:snapToGrid w:val="0"/>
          <w:sz w:val="32"/>
          <w:szCs w:val="32"/>
        </w:rPr>
        <w:t>分析</w:t>
      </w:r>
      <w:r>
        <w:rPr>
          <w:rFonts w:ascii="Times New Roman" w:hAnsi="Times New Roman" w:eastAsia="仿宋_GB2312" w:cs="Times New Roman"/>
          <w:snapToGrid w:val="0"/>
          <w:sz w:val="32"/>
          <w:szCs w:val="32"/>
        </w:rPr>
        <w:t>粤港澳、长三角</w:t>
      </w:r>
      <w:r>
        <w:rPr>
          <w:rFonts w:hint="eastAsia" w:ascii="Times New Roman" w:hAnsi="Times New Roman" w:eastAsia="仿宋_GB2312" w:cs="Times New Roman"/>
          <w:snapToGrid w:val="0"/>
          <w:sz w:val="32"/>
          <w:szCs w:val="32"/>
        </w:rPr>
        <w:t>地区</w:t>
      </w:r>
      <w:r>
        <w:rPr>
          <w:rFonts w:ascii="Times New Roman" w:hAnsi="Times New Roman" w:eastAsia="仿宋_GB2312" w:cs="Times New Roman"/>
          <w:snapToGrid w:val="0"/>
          <w:sz w:val="32"/>
          <w:szCs w:val="32"/>
        </w:rPr>
        <w:t>开放创新</w:t>
      </w:r>
      <w:r>
        <w:rPr>
          <w:rFonts w:hint="eastAsia" w:ascii="Times New Roman" w:hAnsi="Times New Roman" w:eastAsia="仿宋_GB2312" w:cs="Times New Roman"/>
          <w:snapToGrid w:val="0"/>
          <w:sz w:val="32"/>
          <w:szCs w:val="32"/>
        </w:rPr>
        <w:t>对天津的启示</w:t>
      </w:r>
      <w:r>
        <w:rPr>
          <w:rFonts w:ascii="Times New Roman" w:hAnsi="Times New Roman" w:eastAsia="仿宋_GB2312" w:cs="Times New Roman"/>
          <w:snapToGrid w:val="0"/>
          <w:sz w:val="32"/>
          <w:szCs w:val="32"/>
        </w:rPr>
        <w:t>；3.从政策先行先试、合作平台建设、跨境创新服务能力提升、全球创新人才引育等方面提出对策建议。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30.</w:t>
      </w:r>
      <w:r>
        <w:rPr>
          <w:rFonts w:ascii="Times New Roman" w:hAnsi="Times New Roman" w:eastAsia="仿宋_GB2312" w:cs="Times New Roman"/>
          <w:b/>
          <w:bCs/>
          <w:snapToGrid w:val="0"/>
          <w:sz w:val="32"/>
          <w:szCs w:val="32"/>
        </w:rPr>
        <w:t>人工智能赋能天津科技宣传与网络传播对策研究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w:t>
      </w:r>
      <w:r>
        <w:rPr>
          <w:rFonts w:hint="eastAsia" w:ascii="Times New Roman" w:hAnsi="Times New Roman" w:eastAsia="仿宋_GB2312" w:cs="Times New Roman"/>
          <w:snapToGrid w:val="0"/>
          <w:sz w:val="32"/>
          <w:szCs w:val="32"/>
        </w:rPr>
        <w:t>人工智能</w:t>
      </w:r>
      <w:r>
        <w:rPr>
          <w:rFonts w:ascii="Times New Roman" w:hAnsi="Times New Roman" w:eastAsia="仿宋_GB2312" w:cs="Times New Roman"/>
          <w:snapToGrid w:val="0"/>
          <w:sz w:val="32"/>
          <w:szCs w:val="32"/>
        </w:rPr>
        <w:t>在宣传内容生产、渠道分发、受众分析与效果</w:t>
      </w:r>
      <w:r>
        <w:rPr>
          <w:rFonts w:hint="eastAsia" w:ascii="Times New Roman" w:hAnsi="Times New Roman" w:eastAsia="仿宋_GB2312" w:cs="Times New Roman"/>
          <w:snapToGrid w:val="0"/>
          <w:sz w:val="32"/>
          <w:szCs w:val="32"/>
        </w:rPr>
        <w:t>分析</w:t>
      </w:r>
      <w:r>
        <w:rPr>
          <w:rFonts w:ascii="Times New Roman" w:hAnsi="Times New Roman" w:eastAsia="仿宋_GB2312" w:cs="Times New Roman"/>
          <w:snapToGrid w:val="0"/>
          <w:sz w:val="32"/>
          <w:szCs w:val="32"/>
        </w:rPr>
        <w:t>中的应用现状、典型模式及趋势；2.梳理天津科技宣传领域、形式分布及效果，剖析薄弱问题；3.围绕人工智能采编、视频生成、数字人主播、政策精准推送、多语种国际传播等场景，设计技术赋能与风险防控并重的实施路径；4.从统筹协调、跨部门协同、人才培养、经费投入等方面提出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color w:val="EE0000"/>
          <w:sz w:val="32"/>
          <w:szCs w:val="32"/>
        </w:rPr>
      </w:pPr>
      <w:r>
        <w:rPr>
          <w:rFonts w:hint="eastAsia" w:ascii="Times New Roman" w:hAnsi="Times New Roman" w:eastAsia="仿宋_GB2312" w:cs="Times New Roman"/>
          <w:b/>
          <w:bCs/>
          <w:snapToGrid w:val="0"/>
          <w:sz w:val="32"/>
          <w:szCs w:val="32"/>
        </w:rPr>
        <w:t>31.</w:t>
      </w:r>
      <w:r>
        <w:rPr>
          <w:rFonts w:ascii="Times New Roman" w:hAnsi="Times New Roman" w:eastAsia="仿宋_GB2312" w:cs="Times New Roman"/>
          <w:b/>
          <w:bCs/>
          <w:snapToGrid w:val="0"/>
          <w:sz w:val="32"/>
          <w:szCs w:val="32"/>
        </w:rPr>
        <w:t>滨海新区推动北京（京津冀）国际科技创新中心“重要支点”建设路径与对策研究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w:t>
      </w:r>
      <w:r>
        <w:rPr>
          <w:rFonts w:hint="eastAsia" w:ascii="Times New Roman" w:hAnsi="Times New Roman" w:eastAsia="仿宋_GB2312" w:cs="Times New Roman"/>
          <w:snapToGrid w:val="0"/>
          <w:sz w:val="32"/>
          <w:szCs w:val="32"/>
        </w:rPr>
        <w:t>结合北京（京津冀）国际科技创新中心“重要支点”建设的政策导向与任务要求，分析滨海新区建设的基础条件、比较优势与现实差距；2.梳理天津重点区域产业载体、创新平台、产学研协同等方面的典型做法和经验；对标长三角、粤港澳等地区实践经验，提炼在成果外溢承接、成果产业化、科创生态营造等方面的可借鉴模式；3.聚焦脑机接口、合成生物、新一代算力等领域开展实地调研，摸清发展现状、技术前沿趋势和协同创新需求；结合京津冀区域技术合作、产业协作情况梳理，提出可操作、可落地的实施路径与配套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32.发挥天开和平园</w:t>
      </w:r>
      <w:r>
        <w:rPr>
          <w:rFonts w:hint="eastAsia" w:ascii="汉仪大黑简" w:hAnsi="汉仪大黑简" w:eastAsia="汉仪大黑简" w:cs="汉仪大黑简"/>
          <w:b/>
          <w:bCs/>
          <w:snapToGrid w:val="0"/>
          <w:sz w:val="32"/>
          <w:szCs w:val="32"/>
        </w:rPr>
        <w:t>·</w:t>
      </w:r>
      <w:r>
        <w:rPr>
          <w:rFonts w:hint="eastAsia" w:ascii="Times New Roman" w:hAnsi="Times New Roman" w:eastAsia="仿宋_GB2312" w:cs="Times New Roman"/>
          <w:b/>
          <w:bCs/>
          <w:snapToGrid w:val="0"/>
          <w:sz w:val="32"/>
          <w:szCs w:val="32"/>
        </w:rPr>
        <w:t>模创社区作用，探索中心城区推动“两创融合”路径与对策研究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1.梳理上海</w:t>
      </w:r>
      <w:r>
        <w:rPr>
          <w:rFonts w:hint="eastAsia" w:ascii="Times New Roman" w:hAnsi="Times New Roman" w:eastAsia="仿宋_GB2312" w:cs="Times New Roman"/>
          <w:snapToGrid w:val="0"/>
          <w:sz w:val="32"/>
          <w:szCs w:val="32"/>
        </w:rPr>
        <w:t>黄浦</w:t>
      </w:r>
      <w:r>
        <w:rPr>
          <w:rFonts w:ascii="Times New Roman" w:hAnsi="Times New Roman" w:eastAsia="仿宋_GB2312" w:cs="Times New Roman"/>
          <w:snapToGrid w:val="0"/>
          <w:sz w:val="32"/>
          <w:szCs w:val="32"/>
        </w:rPr>
        <w:t>、深圳南山、北京</w:t>
      </w:r>
      <w:r>
        <w:rPr>
          <w:rFonts w:hint="eastAsia" w:ascii="Times New Roman" w:hAnsi="Times New Roman" w:eastAsia="仿宋_GB2312" w:cs="Times New Roman"/>
          <w:snapToGrid w:val="0"/>
          <w:sz w:val="32"/>
          <w:szCs w:val="32"/>
        </w:rPr>
        <w:t>西城</w:t>
      </w:r>
      <w:r>
        <w:rPr>
          <w:rFonts w:ascii="Times New Roman" w:hAnsi="Times New Roman" w:eastAsia="仿宋_GB2312" w:cs="Times New Roman"/>
          <w:snapToGrid w:val="0"/>
          <w:sz w:val="32"/>
          <w:szCs w:val="32"/>
        </w:rPr>
        <w:t>等先进地区中心城区</w:t>
      </w:r>
      <w:r>
        <w:rPr>
          <w:rFonts w:hint="eastAsia" w:ascii="Times New Roman" w:hAnsi="Times New Roman" w:eastAsia="仿宋_GB2312" w:cs="Times New Roman"/>
          <w:snapToGrid w:val="0"/>
          <w:sz w:val="32"/>
          <w:szCs w:val="32"/>
        </w:rPr>
        <w:t>推动两创</w:t>
      </w:r>
      <w:r>
        <w:rPr>
          <w:rFonts w:ascii="Times New Roman" w:hAnsi="Times New Roman" w:eastAsia="仿宋_GB2312" w:cs="Times New Roman"/>
          <w:snapToGrid w:val="0"/>
          <w:sz w:val="32"/>
          <w:szCs w:val="32"/>
        </w:rPr>
        <w:t>深度融合的典型经验，提炼可借鉴模式</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2.总结天开和平园</w:t>
      </w:r>
      <w:r>
        <w:rPr>
          <w:rFonts w:hint="eastAsia" w:ascii="汉仪大黑简" w:hAnsi="汉仪大黑简" w:eastAsia="汉仪大黑简" w:cs="汉仪大黑简"/>
          <w:snapToGrid w:val="0"/>
          <w:sz w:val="32"/>
          <w:szCs w:val="32"/>
        </w:rPr>
        <w:t>·</w:t>
      </w:r>
      <w:r>
        <w:rPr>
          <w:rFonts w:ascii="Times New Roman" w:hAnsi="Times New Roman" w:eastAsia="仿宋_GB2312" w:cs="Times New Roman"/>
          <w:snapToGrid w:val="0"/>
          <w:sz w:val="32"/>
          <w:szCs w:val="32"/>
        </w:rPr>
        <w:t>模创社区建设经验，研判和平区锚定“人工智能+”赛道</w:t>
      </w:r>
      <w:r>
        <w:rPr>
          <w:rFonts w:hint="eastAsia" w:ascii="Times New Roman" w:hAnsi="Times New Roman" w:eastAsia="仿宋_GB2312" w:cs="Times New Roman"/>
          <w:snapToGrid w:val="0"/>
          <w:sz w:val="32"/>
          <w:szCs w:val="32"/>
        </w:rPr>
        <w:t>的</w:t>
      </w:r>
      <w:r>
        <w:rPr>
          <w:rFonts w:ascii="Times New Roman" w:hAnsi="Times New Roman" w:eastAsia="仿宋_GB2312" w:cs="Times New Roman"/>
          <w:snapToGrid w:val="0"/>
          <w:sz w:val="32"/>
          <w:szCs w:val="32"/>
        </w:rPr>
        <w:t>发展现状与关键</w:t>
      </w:r>
      <w:r>
        <w:rPr>
          <w:rFonts w:hint="eastAsia" w:ascii="Times New Roman" w:hAnsi="Times New Roman" w:eastAsia="仿宋_GB2312" w:cs="Times New Roman"/>
          <w:snapToGrid w:val="0"/>
          <w:sz w:val="32"/>
          <w:szCs w:val="32"/>
        </w:rPr>
        <w:t>问题；</w:t>
      </w:r>
      <w:r>
        <w:rPr>
          <w:rFonts w:ascii="Times New Roman" w:hAnsi="Times New Roman" w:eastAsia="仿宋_GB2312" w:cs="Times New Roman"/>
          <w:snapToGrid w:val="0"/>
          <w:sz w:val="32"/>
          <w:szCs w:val="32"/>
        </w:rPr>
        <w:t>3.立足中心城区楼宇空间主导、服务业集聚的资源禀赋，</w:t>
      </w:r>
      <w:r>
        <w:rPr>
          <w:rFonts w:hint="eastAsia" w:ascii="Times New Roman" w:hAnsi="Times New Roman" w:eastAsia="仿宋_GB2312" w:cs="Times New Roman"/>
          <w:snapToGrid w:val="0"/>
          <w:sz w:val="32"/>
          <w:szCs w:val="32"/>
        </w:rPr>
        <w:t>瞄准都市研发、“工业上楼”等发展方向，</w:t>
      </w:r>
      <w:r>
        <w:rPr>
          <w:rFonts w:ascii="Times New Roman" w:hAnsi="Times New Roman" w:eastAsia="仿宋_GB2312" w:cs="Times New Roman"/>
          <w:snapToGrid w:val="0"/>
          <w:sz w:val="32"/>
          <w:szCs w:val="32"/>
        </w:rPr>
        <w:t>从应用场景创新、高端载体建设、产业协同联动、政策供给保障等维度提出对策建议。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33.</w:t>
      </w:r>
      <w:r>
        <w:rPr>
          <w:rFonts w:ascii="Times New Roman" w:hAnsi="Times New Roman" w:eastAsia="仿宋_GB2312" w:cs="Times New Roman"/>
          <w:b/>
          <w:bCs/>
          <w:snapToGrid w:val="0"/>
          <w:sz w:val="32"/>
          <w:szCs w:val="32"/>
        </w:rPr>
        <w:t>人工智能与数据要素驱动河西区现代服务业高质量发展</w:t>
      </w:r>
      <w:r>
        <w:rPr>
          <w:rFonts w:hint="eastAsia" w:ascii="Times New Roman" w:hAnsi="Times New Roman" w:eastAsia="仿宋_GB2312" w:cs="Times New Roman"/>
          <w:b/>
          <w:bCs/>
          <w:snapToGrid w:val="0"/>
          <w:sz w:val="32"/>
          <w:szCs w:val="32"/>
        </w:rPr>
        <w:t>对策</w:t>
      </w:r>
      <w:r>
        <w:rPr>
          <w:rFonts w:ascii="Times New Roman" w:hAnsi="Times New Roman" w:eastAsia="仿宋_GB2312" w:cs="Times New Roman"/>
          <w:b/>
          <w:bCs/>
          <w:snapToGrid w:val="0"/>
          <w:sz w:val="32"/>
          <w:szCs w:val="32"/>
        </w:rPr>
        <w:t>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w:t>
      </w:r>
      <w:r>
        <w:rPr>
          <w:rFonts w:hint="eastAsia" w:ascii="Times New Roman" w:hAnsi="Times New Roman" w:eastAsia="仿宋_GB2312" w:cs="Times New Roman"/>
          <w:snapToGrid w:val="0"/>
          <w:sz w:val="32"/>
          <w:szCs w:val="32"/>
        </w:rPr>
        <w:t>聚焦科技金融、科技服务业、数据服务等现代服务业重要领域，</w:t>
      </w:r>
      <w:r>
        <w:rPr>
          <w:rFonts w:ascii="Times New Roman" w:hAnsi="Times New Roman" w:eastAsia="仿宋_GB2312" w:cs="Times New Roman"/>
          <w:snapToGrid w:val="0"/>
          <w:sz w:val="32"/>
          <w:szCs w:val="32"/>
        </w:rPr>
        <w:t>梳理河西区在产业集聚、人才资源、创新平台等方面禀赋优势；2.剖析科技型企业在数据流通共享、智能场景落地、产研融合等方面的共性短板，对标先进地区提炼可复制经验；3.结合科创载体布局与产业生态实际，从数据要素市场化配置、人工智能赋能产业升级、政产学研协同创新等维度提出</w:t>
      </w:r>
      <w:r>
        <w:rPr>
          <w:rFonts w:hint="eastAsia" w:ascii="Times New Roman" w:hAnsi="Times New Roman" w:eastAsia="仿宋_GB2312" w:cs="Times New Roman"/>
          <w:snapToGrid w:val="0"/>
          <w:sz w:val="32"/>
          <w:szCs w:val="32"/>
        </w:rPr>
        <w:t>对策建议</w:t>
      </w:r>
      <w:r>
        <w:rPr>
          <w:rFonts w:ascii="Times New Roman" w:hAnsi="Times New Roman" w:eastAsia="仿宋_GB2312" w:cs="Times New Roman"/>
          <w:snapToGrid w:val="0"/>
          <w:sz w:val="32"/>
          <w:szCs w:val="32"/>
        </w:rPr>
        <w:t>。</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34.</w:t>
      </w:r>
      <w:r>
        <w:rPr>
          <w:rFonts w:ascii="Times New Roman" w:hAnsi="Times New Roman" w:eastAsia="仿宋_GB2312" w:cs="Times New Roman"/>
          <w:b/>
          <w:bCs/>
          <w:snapToGrid w:val="0"/>
          <w:sz w:val="32"/>
          <w:szCs w:val="32"/>
        </w:rPr>
        <w:t>北辰区培育新质生产力打造京津冀先进制造业集群对策研究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聚焦智能制造、生物医药和机器人等战略性新兴产业，梳理北辰区细分赛道资源禀赋、发展环境、差异化竞争优势和面临的挑战；2.结合北京（京津冀）国际科技创新中心建设，凝练前沿科技优势加快形成新质生产力经验做法和典型案例；3.研究提出北辰区重点领域、重点区域发展新质生产力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35.天津开发区以科技创新驱动高质量发展路径与对策研究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hint="eastAsia"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1.梳理</w:t>
      </w:r>
      <w:r>
        <w:rPr>
          <w:rFonts w:hint="eastAsia" w:ascii="Times New Roman" w:hAnsi="Times New Roman" w:eastAsia="仿宋_GB2312" w:cs="Times New Roman"/>
          <w:snapToGrid w:val="0"/>
          <w:sz w:val="32"/>
          <w:szCs w:val="32"/>
        </w:rPr>
        <w:t>天津</w:t>
      </w:r>
      <w:r>
        <w:rPr>
          <w:rFonts w:ascii="Times New Roman" w:hAnsi="Times New Roman" w:eastAsia="仿宋_GB2312" w:cs="Times New Roman"/>
          <w:snapToGrid w:val="0"/>
          <w:sz w:val="32"/>
          <w:szCs w:val="32"/>
        </w:rPr>
        <w:t>“两级五类”开发区现状，分析各类开发区存在的</w:t>
      </w:r>
      <w:r>
        <w:rPr>
          <w:rFonts w:hint="eastAsia" w:ascii="Times New Roman" w:hAnsi="Times New Roman" w:eastAsia="仿宋_GB2312" w:cs="Times New Roman"/>
          <w:snapToGrid w:val="0"/>
          <w:sz w:val="32"/>
          <w:szCs w:val="32"/>
        </w:rPr>
        <w:t>科技创新</w:t>
      </w:r>
      <w:r>
        <w:rPr>
          <w:rFonts w:ascii="Times New Roman" w:hAnsi="Times New Roman" w:eastAsia="仿宋_GB2312" w:cs="Times New Roman"/>
          <w:snapToGrid w:val="0"/>
          <w:sz w:val="32"/>
          <w:szCs w:val="32"/>
        </w:rPr>
        <w:t>问题以及制约高质量发展的机制性障碍；2.充分借鉴</w:t>
      </w:r>
      <w:r>
        <w:rPr>
          <w:rFonts w:hint="eastAsia" w:ascii="Times New Roman" w:hAnsi="Times New Roman" w:eastAsia="仿宋_GB2312" w:cs="Times New Roman"/>
          <w:snapToGrid w:val="0"/>
          <w:sz w:val="32"/>
          <w:szCs w:val="32"/>
        </w:rPr>
        <w:t>先进</w:t>
      </w:r>
      <w:r>
        <w:rPr>
          <w:rFonts w:ascii="Times New Roman" w:hAnsi="Times New Roman" w:eastAsia="仿宋_GB2312" w:cs="Times New Roman"/>
          <w:snapToGrid w:val="0"/>
          <w:sz w:val="32"/>
          <w:szCs w:val="32"/>
        </w:rPr>
        <w:t>省市开发区建设经验，提炼其以科技创新推动产业升级的关键路径与共性规律；3.结合各类开发区功能定位与发展阶段，围绕创新资源优化配置、成果转化应用等重点方向，提出</w:t>
      </w:r>
      <w:r>
        <w:rPr>
          <w:rFonts w:hint="eastAsia" w:ascii="Times New Roman" w:hAnsi="Times New Roman" w:eastAsia="仿宋_GB2312" w:cs="Times New Roman"/>
          <w:snapToGrid w:val="0"/>
          <w:sz w:val="32"/>
          <w:szCs w:val="32"/>
        </w:rPr>
        <w:t>对策</w:t>
      </w:r>
      <w:r>
        <w:rPr>
          <w:rFonts w:ascii="Times New Roman" w:hAnsi="Times New Roman" w:eastAsia="仿宋_GB2312" w:cs="Times New Roman"/>
          <w:snapToGrid w:val="0"/>
          <w:sz w:val="32"/>
          <w:szCs w:val="32"/>
        </w:rPr>
        <w:t>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36.天津港保税区生物制造产业高质量发展路径、细分赛道与政策赋能研究</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w:t>
      </w:r>
      <w:r>
        <w:rPr>
          <w:rFonts w:hint="eastAsia" w:ascii="Times New Roman" w:hAnsi="Times New Roman" w:eastAsia="仿宋_GB2312" w:cs="Times New Roman"/>
          <w:snapToGrid w:val="0"/>
          <w:sz w:val="32"/>
          <w:szCs w:val="32"/>
        </w:rPr>
        <w:t>研判全球及</w:t>
      </w:r>
      <w:bookmarkStart w:id="2" w:name="_GoBack"/>
      <w:bookmarkEnd w:id="2"/>
      <w:r>
        <w:rPr>
          <w:rFonts w:hint="eastAsia" w:ascii="Times New Roman" w:hAnsi="Times New Roman" w:eastAsia="仿宋_GB2312" w:cs="Times New Roman"/>
          <w:snapToGrid w:val="0"/>
          <w:sz w:val="32"/>
          <w:szCs w:val="32"/>
        </w:rPr>
        <w:t>国家生物制造战略趋势，分析保税区功能定位，提出保税区生物制造产业高质量发展的总体思路、战略目标和实现路径；2.系统研究分析保税区生物制造产业基础与资源禀赋，评价产业发展优势特点；3.研究构建保税区生物制造现代化产业体系，围绕提升规模化承载能力、优化保税区生物制造产业空间格局，梳理具体细分赛道；4.围绕企业梯度培育与政策工具创新提出对策建议。</w:t>
      </w:r>
    </w:p>
    <w:p>
      <w:pPr>
        <w:widowControl w:val="0"/>
        <w:adjustRightInd w:val="0"/>
        <w:snapToGrid w:val="0"/>
        <w:spacing w:after="0" w:line="560" w:lineRule="exact"/>
        <w:ind w:firstLine="642" w:firstLineChars="200"/>
        <w:jc w:val="both"/>
        <w:outlineLvl w:val="0"/>
        <w:rPr>
          <w:rFonts w:ascii="Times New Roman" w:hAnsi="Times New Roman" w:eastAsia="仿宋_GB2312" w:cs="Times New Roman"/>
          <w:b/>
          <w:bCs/>
          <w:snapToGrid w:val="0"/>
          <w:sz w:val="32"/>
          <w:szCs w:val="32"/>
        </w:rPr>
      </w:pPr>
      <w:r>
        <w:rPr>
          <w:rFonts w:hint="eastAsia" w:ascii="Times New Roman" w:hAnsi="Times New Roman" w:eastAsia="仿宋_GB2312" w:cs="Times New Roman"/>
          <w:b/>
          <w:bCs/>
          <w:snapToGrid w:val="0"/>
          <w:sz w:val="32"/>
          <w:szCs w:val="32"/>
        </w:rPr>
        <w:t>37.</w:t>
      </w:r>
      <w:r>
        <w:rPr>
          <w:rFonts w:ascii="Times New Roman" w:hAnsi="Times New Roman" w:eastAsia="仿宋_GB2312" w:cs="Times New Roman"/>
          <w:b/>
          <w:bCs/>
          <w:snapToGrid w:val="0"/>
          <w:sz w:val="32"/>
          <w:szCs w:val="32"/>
        </w:rPr>
        <w:t>自贸试验区制度型开放下</w:t>
      </w:r>
      <w:r>
        <w:rPr>
          <w:rFonts w:hint="eastAsia" w:ascii="Times New Roman" w:hAnsi="Times New Roman" w:eastAsia="仿宋_GB2312" w:cs="Times New Roman"/>
          <w:b/>
          <w:bCs/>
          <w:snapToGrid w:val="0"/>
          <w:sz w:val="32"/>
          <w:szCs w:val="32"/>
        </w:rPr>
        <w:t>人工智能</w:t>
      </w:r>
      <w:r>
        <w:rPr>
          <w:rFonts w:ascii="Times New Roman" w:hAnsi="Times New Roman" w:eastAsia="仿宋_GB2312" w:cs="Times New Roman"/>
          <w:b/>
          <w:bCs/>
          <w:snapToGrid w:val="0"/>
          <w:sz w:val="32"/>
          <w:szCs w:val="32"/>
        </w:rPr>
        <w:t>与机器人行业数据出境便利化路径及产业赋能对策研究</w:t>
      </w:r>
    </w:p>
    <w:p>
      <w:pPr>
        <w:widowControl w:val="0"/>
        <w:adjustRightInd w:val="0"/>
        <w:snapToGrid w:val="0"/>
        <w:spacing w:after="0" w:line="540" w:lineRule="exact"/>
        <w:ind w:firstLine="642"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b/>
          <w:bCs/>
          <w:snapToGrid w:val="0"/>
          <w:sz w:val="32"/>
          <w:szCs w:val="32"/>
        </w:rPr>
        <w:t>研究内容：</w:t>
      </w:r>
      <w:r>
        <w:rPr>
          <w:rFonts w:ascii="Times New Roman" w:hAnsi="Times New Roman" w:eastAsia="仿宋_GB2312" w:cs="Times New Roman"/>
          <w:snapToGrid w:val="0"/>
          <w:sz w:val="32"/>
          <w:szCs w:val="32"/>
        </w:rPr>
        <w:t>1.对标国际高标准数字贸易规则</w:t>
      </w:r>
      <w:r>
        <w:rPr>
          <w:rFonts w:hint="eastAsia" w:ascii="Times New Roman" w:hAnsi="Times New Roman" w:eastAsia="仿宋_GB2312" w:cs="Times New Roman"/>
          <w:snapToGrid w:val="0"/>
          <w:sz w:val="32"/>
          <w:szCs w:val="32"/>
        </w:rPr>
        <w:t>，梳理自贸试验区制度型开放、数据出境负面清单、智能数据跨境管理等现行政策体系</w:t>
      </w:r>
      <w:r>
        <w:rPr>
          <w:rFonts w:ascii="Times New Roman" w:hAnsi="Times New Roman" w:eastAsia="仿宋_GB2312" w:cs="Times New Roman"/>
          <w:snapToGrid w:val="0"/>
          <w:sz w:val="32"/>
          <w:szCs w:val="32"/>
        </w:rPr>
        <w:t>；2.</w:t>
      </w:r>
      <w:r>
        <w:rPr>
          <w:rFonts w:hint="eastAsia" w:ascii="Times New Roman" w:hAnsi="Times New Roman" w:eastAsia="仿宋_GB2312" w:cs="Times New Roman"/>
          <w:snapToGrid w:val="0"/>
          <w:sz w:val="32"/>
          <w:szCs w:val="32"/>
        </w:rPr>
        <w:t>剖析</w:t>
      </w:r>
      <w:r>
        <w:rPr>
          <w:rFonts w:ascii="Times New Roman" w:hAnsi="Times New Roman" w:eastAsia="仿宋_GB2312" w:cs="Times New Roman"/>
          <w:snapToGrid w:val="0"/>
          <w:sz w:val="32"/>
          <w:szCs w:val="32"/>
        </w:rPr>
        <w:t>人工智能训练数据、机器人传感数据、场景测试数据的出境安全</w:t>
      </w:r>
      <w:r>
        <w:rPr>
          <w:rFonts w:hint="eastAsia" w:ascii="Times New Roman" w:hAnsi="Times New Roman" w:eastAsia="仿宋_GB2312" w:cs="Times New Roman"/>
          <w:snapToGrid w:val="0"/>
          <w:sz w:val="32"/>
          <w:szCs w:val="32"/>
        </w:rPr>
        <w:t>分析</w:t>
      </w:r>
      <w:r>
        <w:rPr>
          <w:rFonts w:ascii="Times New Roman" w:hAnsi="Times New Roman" w:eastAsia="仿宋_GB2312" w:cs="Times New Roman"/>
          <w:snapToGrid w:val="0"/>
          <w:sz w:val="32"/>
          <w:szCs w:val="32"/>
        </w:rPr>
        <w:t>、备案流程、边界界定中的实操难点与堵点；3.</w:t>
      </w:r>
      <w:r>
        <w:rPr>
          <w:rFonts w:hint="eastAsia" w:ascii="Times New Roman" w:hAnsi="Times New Roman" w:eastAsia="仿宋_GB2312" w:cs="Times New Roman"/>
          <w:snapToGrid w:val="0"/>
          <w:sz w:val="32"/>
          <w:szCs w:val="32"/>
        </w:rPr>
        <w:t>研究</w:t>
      </w:r>
      <w:r>
        <w:rPr>
          <w:rFonts w:ascii="Times New Roman" w:hAnsi="Times New Roman" w:eastAsia="仿宋_GB2312" w:cs="Times New Roman"/>
          <w:snapToGrid w:val="0"/>
          <w:sz w:val="32"/>
          <w:szCs w:val="32"/>
        </w:rPr>
        <w:t>提出数据跨境赋能技术研发、国际合作、产品出海、产业链协同的对策</w:t>
      </w:r>
      <w:r>
        <w:rPr>
          <w:rFonts w:hint="eastAsia" w:ascii="Times New Roman" w:hAnsi="Times New Roman" w:eastAsia="仿宋_GB2312" w:cs="Times New Roman"/>
          <w:snapToGrid w:val="0"/>
          <w:sz w:val="32"/>
          <w:szCs w:val="32"/>
        </w:rPr>
        <w:t>建议</w:t>
      </w:r>
      <w:r>
        <w:rPr>
          <w:rFonts w:ascii="Times New Roman" w:hAnsi="Times New Roman" w:eastAsia="仿宋_GB2312" w:cs="Times New Roman"/>
          <w:snapToGrid w:val="0"/>
          <w:sz w:val="32"/>
          <w:szCs w:val="32"/>
        </w:rPr>
        <w:t>。</w:t>
      </w:r>
    </w:p>
    <w:p>
      <w:pPr>
        <w:widowControl w:val="0"/>
        <w:adjustRightInd w:val="0"/>
        <w:snapToGrid w:val="0"/>
        <w:spacing w:after="0" w:line="540" w:lineRule="exact"/>
        <w:ind w:firstLine="640" w:firstLineChars="200"/>
        <w:jc w:val="both"/>
        <w:outlineLvl w:val="0"/>
        <w:rPr>
          <w:rFonts w:ascii="Times New Roman" w:hAnsi="Times New Roman" w:eastAsia="黑体" w:cs="Times New Roman"/>
          <w:snapToGrid w:val="0"/>
          <w:sz w:val="32"/>
          <w:szCs w:val="32"/>
        </w:rPr>
      </w:pPr>
      <w:r>
        <w:rPr>
          <w:rFonts w:hint="eastAsia" w:ascii="Times New Roman" w:hAnsi="Times New Roman" w:eastAsia="黑体" w:cs="Times New Roman"/>
          <w:snapToGrid w:val="0"/>
          <w:sz w:val="32"/>
          <w:szCs w:val="32"/>
        </w:rPr>
        <w:t>二、</w:t>
      </w:r>
      <w:r>
        <w:rPr>
          <w:rFonts w:ascii="Times New Roman" w:hAnsi="Times New Roman" w:eastAsia="黑体" w:cs="Times New Roman"/>
          <w:snapToGrid w:val="0"/>
          <w:sz w:val="32"/>
          <w:szCs w:val="32"/>
        </w:rPr>
        <w:t>自主选题项目（支持</w:t>
      </w:r>
      <w:r>
        <w:rPr>
          <w:rFonts w:hint="eastAsia" w:ascii="Times New Roman" w:hAnsi="Times New Roman" w:eastAsia="黑体" w:cs="Times New Roman"/>
          <w:snapToGrid w:val="0"/>
          <w:sz w:val="32"/>
          <w:szCs w:val="32"/>
          <w:lang w:val="en-US" w:eastAsia="zh-CN"/>
        </w:rPr>
        <w:t>30</w:t>
      </w:r>
      <w:r>
        <w:rPr>
          <w:rFonts w:ascii="Times New Roman" w:hAnsi="Times New Roman" w:eastAsia="黑体" w:cs="Times New Roman"/>
          <w:snapToGrid w:val="0"/>
          <w:sz w:val="32"/>
          <w:szCs w:val="32"/>
        </w:rPr>
        <w:t>项左右）</w:t>
      </w:r>
    </w:p>
    <w:bookmarkEnd w:id="1"/>
    <w:p>
      <w:pPr>
        <w:widowControl w:val="0"/>
        <w:adjustRightInd w:val="0"/>
        <w:snapToGrid w:val="0"/>
        <w:spacing w:after="0" w:line="540" w:lineRule="exact"/>
        <w:ind w:firstLine="640" w:firstLineChars="200"/>
        <w:jc w:val="both"/>
        <w:outlineLvl w:val="0"/>
        <w:rPr>
          <w:rFonts w:ascii="Times New Roman" w:hAnsi="Times New Roman" w:eastAsia="仿宋_GB2312" w:cs="Times New Roman"/>
          <w:snapToGrid w:val="0"/>
          <w:sz w:val="32"/>
          <w:szCs w:val="32"/>
        </w:rPr>
      </w:pPr>
      <w:r>
        <w:rPr>
          <w:rFonts w:ascii="Times New Roman" w:hAnsi="Times New Roman" w:eastAsia="仿宋_GB2312" w:cs="Times New Roman"/>
          <w:snapToGrid w:val="0"/>
          <w:sz w:val="32"/>
          <w:szCs w:val="32"/>
        </w:rPr>
        <w:t>重点围绕</w:t>
      </w:r>
      <w:r>
        <w:rPr>
          <w:rFonts w:hint="eastAsia" w:ascii="汉仪书宋二S" w:hAnsi="汉仪书宋二S" w:eastAsia="汉仪书宋二S" w:cs="汉仪书宋二S"/>
          <w:snapToGrid w:val="0"/>
          <w:sz w:val="32"/>
          <w:szCs w:val="32"/>
        </w:rPr>
        <w:t>①</w:t>
      </w:r>
      <w:r>
        <w:rPr>
          <w:rFonts w:ascii="Times New Roman" w:hAnsi="Times New Roman" w:eastAsia="仿宋_GB2312" w:cs="Times New Roman"/>
          <w:snapToGrid w:val="0"/>
          <w:sz w:val="32"/>
          <w:szCs w:val="32"/>
        </w:rPr>
        <w:t>深化关键技术联合攻关、重大科技基础设施共建共享、应用场景联建联用等京津冀协同创新，</w:t>
      </w:r>
      <w:r>
        <w:rPr>
          <w:rFonts w:hint="eastAsia" w:ascii="汉仪书宋二S" w:hAnsi="汉仪书宋二S" w:eastAsia="汉仪书宋二S" w:cs="汉仪书宋二S"/>
          <w:snapToGrid w:val="0"/>
          <w:sz w:val="32"/>
          <w:szCs w:val="32"/>
        </w:rPr>
        <w:t>②</w:t>
      </w:r>
      <w:r>
        <w:rPr>
          <w:rFonts w:ascii="Times New Roman" w:hAnsi="Times New Roman" w:eastAsia="仿宋_GB2312" w:cs="Times New Roman"/>
          <w:snapToGrid w:val="0"/>
          <w:sz w:val="32"/>
          <w:szCs w:val="32"/>
        </w:rPr>
        <w:t>高水平共建北京（京津冀）国际科技创新中心，</w:t>
      </w:r>
      <w:r>
        <w:rPr>
          <w:rFonts w:hint="eastAsia" w:ascii="汉仪书宋二S" w:hAnsi="汉仪书宋二S" w:eastAsia="汉仪书宋二S" w:cs="汉仪书宋二S"/>
          <w:snapToGrid w:val="0"/>
          <w:sz w:val="32"/>
          <w:szCs w:val="32"/>
        </w:rPr>
        <w:t>③</w:t>
      </w:r>
      <w:r>
        <w:rPr>
          <w:rFonts w:hint="eastAsia" w:ascii="Times New Roman" w:hAnsi="Times New Roman" w:eastAsia="仿宋_GB2312" w:cs="Times New Roman"/>
          <w:snapToGrid w:val="0"/>
          <w:sz w:val="32"/>
          <w:szCs w:val="32"/>
        </w:rPr>
        <w:t>建强实验室、科研院所、企业等战略科技力量，</w:t>
      </w:r>
      <w:r>
        <w:rPr>
          <w:rFonts w:hint="eastAsia" w:ascii="汉仪书宋二S" w:hAnsi="汉仪书宋二S" w:eastAsia="汉仪书宋二S" w:cs="汉仪书宋二S"/>
          <w:snapToGrid w:val="0"/>
          <w:sz w:val="32"/>
          <w:szCs w:val="32"/>
        </w:rPr>
        <w:t>④</w:t>
      </w:r>
      <w:r>
        <w:rPr>
          <w:rFonts w:ascii="Times New Roman" w:hAnsi="Times New Roman" w:eastAsia="仿宋_GB2312" w:cs="Times New Roman"/>
          <w:snapToGrid w:val="0"/>
          <w:sz w:val="32"/>
          <w:szCs w:val="32"/>
        </w:rPr>
        <w:t>打造天开高教科创园等高水平科创园区，</w:t>
      </w:r>
      <w:r>
        <w:rPr>
          <w:rFonts w:hint="eastAsia" w:ascii="汉仪书宋二S" w:hAnsi="汉仪书宋二S" w:eastAsia="汉仪书宋二S" w:cs="汉仪书宋二S"/>
          <w:snapToGrid w:val="0"/>
          <w:sz w:val="32"/>
          <w:szCs w:val="32"/>
        </w:rPr>
        <w:t>⑤</w:t>
      </w:r>
      <w:r>
        <w:rPr>
          <w:rFonts w:ascii="Times New Roman" w:hAnsi="Times New Roman" w:eastAsia="仿宋_GB2312" w:cs="Times New Roman"/>
          <w:snapToGrid w:val="0"/>
          <w:sz w:val="32"/>
          <w:szCs w:val="32"/>
        </w:rPr>
        <w:t>深化绿色石化、</w:t>
      </w:r>
      <w:r>
        <w:rPr>
          <w:rFonts w:hint="eastAsia" w:ascii="Times New Roman" w:hAnsi="Times New Roman" w:eastAsia="仿宋_GB2312" w:cs="Times New Roman"/>
          <w:snapToGrid w:val="0"/>
          <w:sz w:val="32"/>
          <w:szCs w:val="32"/>
        </w:rPr>
        <w:t>生物医药、脑机接口、智能机器人、人工智能、海洋</w:t>
      </w:r>
      <w:r>
        <w:rPr>
          <w:rFonts w:ascii="Times New Roman" w:hAnsi="Times New Roman" w:eastAsia="仿宋_GB2312" w:cs="Times New Roman"/>
          <w:snapToGrid w:val="0"/>
          <w:sz w:val="32"/>
          <w:szCs w:val="32"/>
        </w:rPr>
        <w:t>等领域科技创新与产业创新融合，</w:t>
      </w:r>
      <w:r>
        <w:rPr>
          <w:rFonts w:hint="eastAsia" w:ascii="汉仪书宋二S" w:hAnsi="汉仪书宋二S" w:eastAsia="汉仪书宋二S" w:cs="汉仪书宋二S"/>
          <w:snapToGrid w:val="0"/>
          <w:sz w:val="32"/>
          <w:szCs w:val="32"/>
        </w:rPr>
        <w:t>⑥</w:t>
      </w:r>
      <w:r>
        <w:rPr>
          <w:rFonts w:ascii="Times New Roman" w:hAnsi="Times New Roman" w:eastAsia="仿宋_GB2312" w:cs="Times New Roman"/>
          <w:snapToGrid w:val="0"/>
          <w:sz w:val="32"/>
          <w:szCs w:val="32"/>
        </w:rPr>
        <w:t>探索</w:t>
      </w:r>
      <w:r>
        <w:rPr>
          <w:rFonts w:hint="eastAsia" w:ascii="Times New Roman" w:hAnsi="Times New Roman" w:eastAsia="仿宋_GB2312" w:cs="Times New Roman"/>
          <w:snapToGrid w:val="0"/>
          <w:sz w:val="32"/>
          <w:szCs w:val="32"/>
        </w:rPr>
        <w:t>科技成果转化、</w:t>
      </w:r>
      <w:r>
        <w:rPr>
          <w:rFonts w:ascii="Times New Roman" w:hAnsi="Times New Roman" w:eastAsia="仿宋_GB2312" w:cs="Times New Roman"/>
          <w:snapToGrid w:val="0"/>
          <w:sz w:val="32"/>
          <w:szCs w:val="32"/>
        </w:rPr>
        <w:t>AI4S范式变革、</w:t>
      </w:r>
      <w:r>
        <w:rPr>
          <w:rFonts w:hint="eastAsia" w:ascii="Times New Roman" w:hAnsi="Times New Roman" w:eastAsia="仿宋_GB2312" w:cs="Times New Roman"/>
          <w:snapToGrid w:val="0"/>
          <w:sz w:val="32"/>
          <w:szCs w:val="32"/>
        </w:rPr>
        <w:t>“AI+科技管理”</w:t>
      </w:r>
      <w:r>
        <w:rPr>
          <w:rFonts w:ascii="Times New Roman" w:hAnsi="Times New Roman" w:eastAsia="仿宋_GB2312" w:cs="Times New Roman"/>
          <w:snapToGrid w:val="0"/>
          <w:sz w:val="32"/>
          <w:szCs w:val="32"/>
        </w:rPr>
        <w:t>等科技体制</w:t>
      </w:r>
      <w:r>
        <w:rPr>
          <w:rFonts w:hint="eastAsia" w:ascii="Times New Roman" w:hAnsi="Times New Roman" w:eastAsia="仿宋_GB2312" w:cs="Times New Roman"/>
          <w:snapToGrid w:val="0"/>
          <w:sz w:val="32"/>
          <w:szCs w:val="32"/>
        </w:rPr>
        <w:t>机制</w:t>
      </w:r>
      <w:r>
        <w:rPr>
          <w:rFonts w:ascii="Times New Roman" w:hAnsi="Times New Roman" w:eastAsia="仿宋_GB2312" w:cs="Times New Roman"/>
          <w:snapToGrid w:val="0"/>
          <w:sz w:val="32"/>
          <w:szCs w:val="32"/>
        </w:rPr>
        <w:t>改革，</w:t>
      </w:r>
      <w:r>
        <w:rPr>
          <w:rFonts w:hint="eastAsia" w:ascii="汉仪书宋二S" w:hAnsi="汉仪书宋二S" w:eastAsia="汉仪书宋二S" w:cs="汉仪书宋二S"/>
          <w:snapToGrid w:val="0"/>
          <w:sz w:val="32"/>
          <w:szCs w:val="32"/>
        </w:rPr>
        <w:t>⑦</w:t>
      </w:r>
      <w:r>
        <w:rPr>
          <w:rFonts w:hint="eastAsia" w:ascii="Times New Roman" w:hAnsi="Times New Roman" w:eastAsia="仿宋_GB2312" w:cs="Times New Roman"/>
          <w:snapToGrid w:val="0"/>
          <w:sz w:val="32"/>
          <w:szCs w:val="32"/>
        </w:rPr>
        <w:t>优化</w:t>
      </w:r>
      <w:r>
        <w:rPr>
          <w:rFonts w:ascii="Times New Roman" w:hAnsi="Times New Roman" w:eastAsia="仿宋_GB2312" w:cs="Times New Roman"/>
          <w:snapToGrid w:val="0"/>
          <w:sz w:val="32"/>
          <w:szCs w:val="32"/>
        </w:rPr>
        <w:t>科技安全</w:t>
      </w:r>
      <w:r>
        <w:rPr>
          <w:rFonts w:hint="eastAsia" w:ascii="Times New Roman" w:hAnsi="Times New Roman" w:eastAsia="仿宋_GB2312" w:cs="Times New Roman"/>
          <w:snapToGrid w:val="0"/>
          <w:sz w:val="32"/>
          <w:szCs w:val="32"/>
        </w:rPr>
        <w:t>、</w:t>
      </w:r>
      <w:r>
        <w:rPr>
          <w:rFonts w:ascii="Times New Roman" w:hAnsi="Times New Roman" w:eastAsia="仿宋_GB2312" w:cs="Times New Roman"/>
          <w:snapToGrid w:val="0"/>
          <w:sz w:val="32"/>
          <w:szCs w:val="32"/>
        </w:rPr>
        <w:t>科研诚信</w:t>
      </w:r>
      <w:r>
        <w:rPr>
          <w:rFonts w:hint="eastAsia" w:ascii="Times New Roman" w:hAnsi="Times New Roman" w:eastAsia="仿宋_GB2312" w:cs="Times New Roman"/>
          <w:snapToGrid w:val="0"/>
          <w:sz w:val="32"/>
          <w:szCs w:val="32"/>
        </w:rPr>
        <w:t>与伦理</w:t>
      </w:r>
      <w:r>
        <w:rPr>
          <w:rFonts w:ascii="Times New Roman" w:hAnsi="Times New Roman" w:eastAsia="仿宋_GB2312" w:cs="Times New Roman"/>
          <w:snapToGrid w:val="0"/>
          <w:sz w:val="32"/>
          <w:szCs w:val="32"/>
        </w:rPr>
        <w:t>、</w:t>
      </w:r>
      <w:r>
        <w:rPr>
          <w:rFonts w:hint="eastAsia" w:ascii="Times New Roman" w:hAnsi="Times New Roman" w:eastAsia="仿宋_GB2312" w:cs="Times New Roman"/>
          <w:snapToGrid w:val="0"/>
          <w:sz w:val="32"/>
          <w:szCs w:val="32"/>
        </w:rPr>
        <w:t>科技艺术、科普</w:t>
      </w:r>
      <w:r>
        <w:rPr>
          <w:rFonts w:ascii="Times New Roman" w:hAnsi="Times New Roman" w:eastAsia="仿宋_GB2312" w:cs="Times New Roman"/>
          <w:snapToGrid w:val="0"/>
          <w:sz w:val="32"/>
          <w:szCs w:val="32"/>
        </w:rPr>
        <w:t>等创新</w:t>
      </w:r>
      <w:r>
        <w:rPr>
          <w:rFonts w:hint="eastAsia" w:ascii="Times New Roman" w:hAnsi="Times New Roman" w:eastAsia="仿宋_GB2312" w:cs="Times New Roman"/>
          <w:snapToGrid w:val="0"/>
          <w:sz w:val="32"/>
          <w:szCs w:val="32"/>
        </w:rPr>
        <w:t>生态</w:t>
      </w:r>
      <w:r>
        <w:rPr>
          <w:rFonts w:ascii="Times New Roman" w:hAnsi="Times New Roman" w:eastAsia="仿宋_GB2312" w:cs="Times New Roman"/>
          <w:snapToGrid w:val="0"/>
          <w:sz w:val="32"/>
          <w:szCs w:val="32"/>
        </w:rPr>
        <w:t>，</w:t>
      </w:r>
      <w:r>
        <w:rPr>
          <w:rFonts w:ascii="汉仪书宋二S" w:hAnsi="汉仪书宋二S" w:eastAsia="汉仪书宋二S" w:cs="汉仪书宋二S"/>
          <w:snapToGrid w:val="0"/>
          <w:sz w:val="32"/>
          <w:szCs w:val="32"/>
        </w:rPr>
        <w:fldChar w:fldCharType="begin"/>
      </w:r>
      <w:r>
        <w:rPr>
          <w:rFonts w:ascii="汉仪书宋二S" w:hAnsi="汉仪书宋二S" w:eastAsia="汉仪书宋二S" w:cs="汉仪书宋二S"/>
          <w:snapToGrid w:val="0"/>
          <w:sz w:val="32"/>
          <w:szCs w:val="32"/>
        </w:rPr>
        <w:instrText xml:space="preserve"> </w:instrText>
      </w:r>
      <w:r>
        <w:rPr>
          <w:rFonts w:hint="eastAsia" w:ascii="汉仪书宋二S" w:hAnsi="汉仪书宋二S" w:eastAsia="汉仪书宋二S" w:cs="汉仪书宋二S"/>
          <w:snapToGrid w:val="0"/>
          <w:sz w:val="32"/>
          <w:szCs w:val="32"/>
        </w:rPr>
        <w:instrText xml:space="preserve">= 8 \* GB3</w:instrText>
      </w:r>
      <w:r>
        <w:rPr>
          <w:rFonts w:ascii="汉仪书宋二S" w:hAnsi="汉仪书宋二S" w:eastAsia="汉仪书宋二S" w:cs="汉仪书宋二S"/>
          <w:snapToGrid w:val="0"/>
          <w:sz w:val="32"/>
          <w:szCs w:val="32"/>
        </w:rPr>
        <w:instrText xml:space="preserve"> </w:instrText>
      </w:r>
      <w:r>
        <w:rPr>
          <w:rFonts w:ascii="汉仪书宋二S" w:hAnsi="汉仪书宋二S" w:eastAsia="汉仪书宋二S" w:cs="汉仪书宋二S"/>
          <w:snapToGrid w:val="0"/>
          <w:sz w:val="32"/>
          <w:szCs w:val="32"/>
        </w:rPr>
        <w:fldChar w:fldCharType="separate"/>
      </w:r>
      <w:r>
        <w:rPr>
          <w:rFonts w:hint="eastAsia" w:ascii="汉仪书宋二S" w:hAnsi="汉仪书宋二S" w:eastAsia="汉仪书宋二S" w:cs="汉仪书宋二S"/>
          <w:snapToGrid w:val="0"/>
          <w:sz w:val="32"/>
          <w:szCs w:val="32"/>
        </w:rPr>
        <w:t>⑧</w:t>
      </w:r>
      <w:r>
        <w:rPr>
          <w:rFonts w:ascii="汉仪书宋二S" w:hAnsi="汉仪书宋二S" w:eastAsia="汉仪书宋二S" w:cs="汉仪书宋二S"/>
          <w:snapToGrid w:val="0"/>
          <w:sz w:val="32"/>
          <w:szCs w:val="32"/>
        </w:rPr>
        <w:fldChar w:fldCharType="end"/>
      </w:r>
      <w:r>
        <w:rPr>
          <w:rFonts w:hint="eastAsia" w:ascii="Times New Roman" w:hAnsi="Times New Roman" w:eastAsia="仿宋_GB2312" w:cs="Times New Roman"/>
          <w:snapToGrid w:val="0"/>
          <w:sz w:val="32"/>
          <w:szCs w:val="32"/>
        </w:rPr>
        <w:t>其他，</w:t>
      </w:r>
      <w:r>
        <w:rPr>
          <w:rFonts w:ascii="Times New Roman" w:hAnsi="Times New Roman" w:eastAsia="仿宋_GB2312" w:cs="Times New Roman"/>
          <w:snapToGrid w:val="0"/>
          <w:sz w:val="32"/>
          <w:szCs w:val="32"/>
        </w:rPr>
        <w:t>自行选择某一具体领域或方向开展研究，</w:t>
      </w:r>
      <w:r>
        <w:rPr>
          <w:rFonts w:hint="eastAsia" w:ascii="Times New Roman" w:hAnsi="Times New Roman" w:eastAsia="仿宋_GB2312" w:cs="Times New Roman"/>
          <w:snapToGrid w:val="0"/>
          <w:sz w:val="32"/>
          <w:szCs w:val="32"/>
        </w:rPr>
        <w:t>突出创新性、改革性和前瞻性，</w:t>
      </w:r>
      <w:r>
        <w:rPr>
          <w:rFonts w:ascii="Times New Roman" w:hAnsi="Times New Roman" w:eastAsia="仿宋_GB2312" w:cs="Times New Roman"/>
          <w:snapToGrid w:val="0"/>
          <w:sz w:val="32"/>
          <w:szCs w:val="32"/>
        </w:rPr>
        <w:t>选题不应与上述3</w:t>
      </w:r>
      <w:r>
        <w:rPr>
          <w:rFonts w:hint="eastAsia" w:ascii="Times New Roman" w:hAnsi="Times New Roman" w:eastAsia="仿宋_GB2312" w:cs="Times New Roman"/>
          <w:snapToGrid w:val="0"/>
          <w:sz w:val="32"/>
          <w:szCs w:val="32"/>
        </w:rPr>
        <w:t>7</w:t>
      </w:r>
      <w:r>
        <w:rPr>
          <w:rFonts w:ascii="Times New Roman" w:hAnsi="Times New Roman" w:eastAsia="仿宋_GB2312" w:cs="Times New Roman"/>
          <w:snapToGrid w:val="0"/>
          <w:sz w:val="32"/>
          <w:szCs w:val="32"/>
        </w:rPr>
        <w:t>个固定选题重复。</w:t>
      </w:r>
    </w:p>
    <w:sectPr>
      <w:footerReference r:id="rId5" w:type="default"/>
      <w:pgSz w:w="11906" w:h="16838"/>
      <w:pgMar w:top="2098" w:right="1474" w:bottom="1984" w:left="1587"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Segoe UI">
    <w:altName w:val="Noto Naskh Arabic"/>
    <w:panose1 w:val="020B0502040204020203"/>
    <w:charset w:val="00"/>
    <w:family w:val="swiss"/>
    <w:pitch w:val="default"/>
    <w:sig w:usb0="00000000" w:usb1="00000000" w:usb2="00000009" w:usb3="00000000" w:csb0="200001FF" w:csb1="00000000"/>
  </w:font>
  <w:font w:name="等线">
    <w:altName w:val="宋体"/>
    <w:panose1 w:val="02010600030101010101"/>
    <w:charset w:val="86"/>
    <w:family w:val="auto"/>
    <w:pitch w:val="default"/>
    <w:sig w:usb0="00000000" w:usb1="00000000" w:usb2="00000016" w:usb3="00000000" w:csb0="0004000F" w:csb1="00000000"/>
  </w:font>
  <w:font w:name="汉仪大黑简">
    <w:panose1 w:val="02010600000101010101"/>
    <w:charset w:val="86"/>
    <w:family w:val="auto"/>
    <w:pitch w:val="default"/>
    <w:sig w:usb0="00000001" w:usb1="080E0800" w:usb2="00000002" w:usb3="00000000" w:csb0="00040000" w:csb1="00000000"/>
  </w:font>
  <w:font w:name="汉仪书宋二S">
    <w:panose1 w:val="00020600040101010101"/>
    <w:charset w:val="86"/>
    <w:family w:val="auto"/>
    <w:pitch w:val="default"/>
    <w:sig w:usb0="A00002BF" w:usb1="18EF7CFA" w:usb2="00000016" w:usb3="00000000" w:csb0="00040000" w:csb1="00000000"/>
  </w:font>
  <w:font w:name="Noto Naskh Arabic">
    <w:panose1 w:val="020B0502040504020204"/>
    <w:charset w:val="00"/>
    <w:family w:val="auto"/>
    <w:pitch w:val="default"/>
    <w:sig w:usb0="00002000" w:usb1="80000000" w:usb2="00000008" w:usb3="00000000" w:csb0="00000041" w:csb1="0008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OOeXwRMCAAAZBAAADgAAAAAAAAABACAAAAA1AQAAZHJzL2Uyb0RvYy54bWxQSwUGAAAAAAYABgBZ&#10;AQAAugUAAAAA&#10;">
              <v:fill on="f" focussize="0,0"/>
              <v:stroke on="f" weight="0.5pt"/>
              <v:imagedata o:title=""/>
              <o:lock v:ext="edit" aspectratio="f"/>
              <v:textbox inset="0mm,0mm,0mm,0mm" style="mso-fit-shape-to-text:t;">
                <w:txbxContent>
                  <w:p>
                    <w:pPr>
                      <w:pStyle w:val="5"/>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true"/>
  <w:bordersDoNotSurroundFooter w:val="true"/>
  <w:revisionView w:markup="0"/>
  <w:documentProtection w:enforcement="0"/>
  <w:defaultTabStop w:val="420"/>
  <w:drawingGridVerticalSpacing w:val="156"/>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A0M2E2ZjE3YmFjZGU3NTQ2MjY1MTJiMDRiY2U4NDYifQ=="/>
  </w:docVars>
  <w:rsids>
    <w:rsidRoot w:val="004F0D35"/>
    <w:rsid w:val="0000579C"/>
    <w:rsid w:val="000069D0"/>
    <w:rsid w:val="000076F1"/>
    <w:rsid w:val="00011229"/>
    <w:rsid w:val="0001183C"/>
    <w:rsid w:val="00025937"/>
    <w:rsid w:val="00030E2B"/>
    <w:rsid w:val="00035A64"/>
    <w:rsid w:val="00036B9A"/>
    <w:rsid w:val="00036F8C"/>
    <w:rsid w:val="00042010"/>
    <w:rsid w:val="0004296E"/>
    <w:rsid w:val="000457C2"/>
    <w:rsid w:val="000457C9"/>
    <w:rsid w:val="000463AD"/>
    <w:rsid w:val="000517E6"/>
    <w:rsid w:val="00053079"/>
    <w:rsid w:val="00054917"/>
    <w:rsid w:val="00054E94"/>
    <w:rsid w:val="00055B41"/>
    <w:rsid w:val="00055C0C"/>
    <w:rsid w:val="00066656"/>
    <w:rsid w:val="0007184F"/>
    <w:rsid w:val="00072087"/>
    <w:rsid w:val="00072259"/>
    <w:rsid w:val="00073BCF"/>
    <w:rsid w:val="00074BD7"/>
    <w:rsid w:val="00083F28"/>
    <w:rsid w:val="0008736F"/>
    <w:rsid w:val="00090221"/>
    <w:rsid w:val="00091BA8"/>
    <w:rsid w:val="00092BD9"/>
    <w:rsid w:val="00096EEC"/>
    <w:rsid w:val="000A03D5"/>
    <w:rsid w:val="000A05FB"/>
    <w:rsid w:val="000A0C99"/>
    <w:rsid w:val="000A18A7"/>
    <w:rsid w:val="000A36A0"/>
    <w:rsid w:val="000A44C6"/>
    <w:rsid w:val="000A52E0"/>
    <w:rsid w:val="000A7CBF"/>
    <w:rsid w:val="000B05A9"/>
    <w:rsid w:val="000B06E2"/>
    <w:rsid w:val="000B6B46"/>
    <w:rsid w:val="000C0EB7"/>
    <w:rsid w:val="000C3BBF"/>
    <w:rsid w:val="000C7B01"/>
    <w:rsid w:val="000D0007"/>
    <w:rsid w:val="000D0A78"/>
    <w:rsid w:val="000D1EED"/>
    <w:rsid w:val="000D3807"/>
    <w:rsid w:val="000D5309"/>
    <w:rsid w:val="000E01A6"/>
    <w:rsid w:val="000E5A3B"/>
    <w:rsid w:val="000E62F3"/>
    <w:rsid w:val="000F2FF6"/>
    <w:rsid w:val="000F41A8"/>
    <w:rsid w:val="000F4C1E"/>
    <w:rsid w:val="000F79E8"/>
    <w:rsid w:val="000F7B6A"/>
    <w:rsid w:val="00100FE7"/>
    <w:rsid w:val="00102647"/>
    <w:rsid w:val="00103A33"/>
    <w:rsid w:val="001049B9"/>
    <w:rsid w:val="0010572E"/>
    <w:rsid w:val="00112BD3"/>
    <w:rsid w:val="001161A7"/>
    <w:rsid w:val="00116316"/>
    <w:rsid w:val="0011737D"/>
    <w:rsid w:val="00121AC2"/>
    <w:rsid w:val="00122CD3"/>
    <w:rsid w:val="00124BF5"/>
    <w:rsid w:val="001255E4"/>
    <w:rsid w:val="00130A2D"/>
    <w:rsid w:val="00136DDB"/>
    <w:rsid w:val="001373DF"/>
    <w:rsid w:val="0013778D"/>
    <w:rsid w:val="00142C9C"/>
    <w:rsid w:val="001453EE"/>
    <w:rsid w:val="00147B6B"/>
    <w:rsid w:val="00150EA4"/>
    <w:rsid w:val="0015123F"/>
    <w:rsid w:val="00152458"/>
    <w:rsid w:val="00156502"/>
    <w:rsid w:val="0015662D"/>
    <w:rsid w:val="001609A4"/>
    <w:rsid w:val="00161891"/>
    <w:rsid w:val="0016333D"/>
    <w:rsid w:val="00163C44"/>
    <w:rsid w:val="00163F37"/>
    <w:rsid w:val="00164909"/>
    <w:rsid w:val="00164AEE"/>
    <w:rsid w:val="00165E13"/>
    <w:rsid w:val="00167697"/>
    <w:rsid w:val="00171186"/>
    <w:rsid w:val="001767CC"/>
    <w:rsid w:val="001839E0"/>
    <w:rsid w:val="001846A3"/>
    <w:rsid w:val="00185418"/>
    <w:rsid w:val="0018636E"/>
    <w:rsid w:val="0018732F"/>
    <w:rsid w:val="00191C02"/>
    <w:rsid w:val="00192CEB"/>
    <w:rsid w:val="00192DAE"/>
    <w:rsid w:val="0019371F"/>
    <w:rsid w:val="00193D8D"/>
    <w:rsid w:val="0019580A"/>
    <w:rsid w:val="001A0DD8"/>
    <w:rsid w:val="001A247E"/>
    <w:rsid w:val="001A35E8"/>
    <w:rsid w:val="001A4988"/>
    <w:rsid w:val="001A586D"/>
    <w:rsid w:val="001A72D9"/>
    <w:rsid w:val="001B4059"/>
    <w:rsid w:val="001B44A2"/>
    <w:rsid w:val="001B4EF0"/>
    <w:rsid w:val="001B7155"/>
    <w:rsid w:val="001C16A6"/>
    <w:rsid w:val="001C440A"/>
    <w:rsid w:val="001C581C"/>
    <w:rsid w:val="001C6AD1"/>
    <w:rsid w:val="001C73DC"/>
    <w:rsid w:val="001D404F"/>
    <w:rsid w:val="001D4357"/>
    <w:rsid w:val="001D6289"/>
    <w:rsid w:val="001D7E6C"/>
    <w:rsid w:val="001E12B1"/>
    <w:rsid w:val="001E35E5"/>
    <w:rsid w:val="001E5D6D"/>
    <w:rsid w:val="001E61BA"/>
    <w:rsid w:val="001E64F0"/>
    <w:rsid w:val="001F07D8"/>
    <w:rsid w:val="001F3893"/>
    <w:rsid w:val="001F3C6F"/>
    <w:rsid w:val="001F4068"/>
    <w:rsid w:val="001F45B1"/>
    <w:rsid w:val="001F5973"/>
    <w:rsid w:val="001F6541"/>
    <w:rsid w:val="0020046B"/>
    <w:rsid w:val="00203033"/>
    <w:rsid w:val="002045EB"/>
    <w:rsid w:val="00210844"/>
    <w:rsid w:val="002123CB"/>
    <w:rsid w:val="00213EF5"/>
    <w:rsid w:val="00213F28"/>
    <w:rsid w:val="002146C3"/>
    <w:rsid w:val="00220821"/>
    <w:rsid w:val="00221FF9"/>
    <w:rsid w:val="002259AF"/>
    <w:rsid w:val="002269DC"/>
    <w:rsid w:val="002270D2"/>
    <w:rsid w:val="0023304F"/>
    <w:rsid w:val="002338C5"/>
    <w:rsid w:val="002360FA"/>
    <w:rsid w:val="00237002"/>
    <w:rsid w:val="002407B1"/>
    <w:rsid w:val="00241C99"/>
    <w:rsid w:val="00242BFE"/>
    <w:rsid w:val="0024541F"/>
    <w:rsid w:val="002464EE"/>
    <w:rsid w:val="00252C2B"/>
    <w:rsid w:val="00253951"/>
    <w:rsid w:val="00255F55"/>
    <w:rsid w:val="002577E6"/>
    <w:rsid w:val="00263559"/>
    <w:rsid w:val="002642C2"/>
    <w:rsid w:val="00270FB4"/>
    <w:rsid w:val="002718DC"/>
    <w:rsid w:val="00274A27"/>
    <w:rsid w:val="002807CD"/>
    <w:rsid w:val="00282530"/>
    <w:rsid w:val="0028462D"/>
    <w:rsid w:val="00290B50"/>
    <w:rsid w:val="00291590"/>
    <w:rsid w:val="002976E9"/>
    <w:rsid w:val="00297E65"/>
    <w:rsid w:val="002A6234"/>
    <w:rsid w:val="002A72E9"/>
    <w:rsid w:val="002B0C1A"/>
    <w:rsid w:val="002B2780"/>
    <w:rsid w:val="002B3365"/>
    <w:rsid w:val="002B46ED"/>
    <w:rsid w:val="002B47D9"/>
    <w:rsid w:val="002B4D2B"/>
    <w:rsid w:val="002B5825"/>
    <w:rsid w:val="002B7693"/>
    <w:rsid w:val="002C14A8"/>
    <w:rsid w:val="002C5020"/>
    <w:rsid w:val="002C6CEB"/>
    <w:rsid w:val="002C77AC"/>
    <w:rsid w:val="002D04CA"/>
    <w:rsid w:val="002D0F76"/>
    <w:rsid w:val="002D7696"/>
    <w:rsid w:val="002D7B98"/>
    <w:rsid w:val="002D7C8C"/>
    <w:rsid w:val="002E027E"/>
    <w:rsid w:val="002E1095"/>
    <w:rsid w:val="002E1AD2"/>
    <w:rsid w:val="002E3430"/>
    <w:rsid w:val="002E489C"/>
    <w:rsid w:val="002E4C3A"/>
    <w:rsid w:val="002F045E"/>
    <w:rsid w:val="002F2127"/>
    <w:rsid w:val="002F3005"/>
    <w:rsid w:val="002F4015"/>
    <w:rsid w:val="002F594D"/>
    <w:rsid w:val="002F7579"/>
    <w:rsid w:val="002F75C9"/>
    <w:rsid w:val="002F7F7B"/>
    <w:rsid w:val="00300139"/>
    <w:rsid w:val="0030185E"/>
    <w:rsid w:val="00301927"/>
    <w:rsid w:val="00302F67"/>
    <w:rsid w:val="00304547"/>
    <w:rsid w:val="00304DE7"/>
    <w:rsid w:val="00305C72"/>
    <w:rsid w:val="00311A5B"/>
    <w:rsid w:val="00311EA7"/>
    <w:rsid w:val="0031360E"/>
    <w:rsid w:val="00313690"/>
    <w:rsid w:val="00315524"/>
    <w:rsid w:val="00317593"/>
    <w:rsid w:val="00317834"/>
    <w:rsid w:val="00317FBE"/>
    <w:rsid w:val="0032098C"/>
    <w:rsid w:val="0032468C"/>
    <w:rsid w:val="003270D3"/>
    <w:rsid w:val="0032781C"/>
    <w:rsid w:val="00331156"/>
    <w:rsid w:val="00334EBC"/>
    <w:rsid w:val="0033616D"/>
    <w:rsid w:val="0033673E"/>
    <w:rsid w:val="00344BFC"/>
    <w:rsid w:val="003452F1"/>
    <w:rsid w:val="0034716D"/>
    <w:rsid w:val="003562E0"/>
    <w:rsid w:val="00356386"/>
    <w:rsid w:val="003563AE"/>
    <w:rsid w:val="0035667A"/>
    <w:rsid w:val="003603F5"/>
    <w:rsid w:val="003606E0"/>
    <w:rsid w:val="003636E7"/>
    <w:rsid w:val="00372559"/>
    <w:rsid w:val="003762CC"/>
    <w:rsid w:val="0037634D"/>
    <w:rsid w:val="00376D47"/>
    <w:rsid w:val="00377FEB"/>
    <w:rsid w:val="00380A38"/>
    <w:rsid w:val="00380CC0"/>
    <w:rsid w:val="003821AE"/>
    <w:rsid w:val="00384972"/>
    <w:rsid w:val="0038756C"/>
    <w:rsid w:val="003879A2"/>
    <w:rsid w:val="003910C9"/>
    <w:rsid w:val="00391792"/>
    <w:rsid w:val="00391B68"/>
    <w:rsid w:val="0039499C"/>
    <w:rsid w:val="00395A5D"/>
    <w:rsid w:val="00397945"/>
    <w:rsid w:val="003A460B"/>
    <w:rsid w:val="003B5C63"/>
    <w:rsid w:val="003B6022"/>
    <w:rsid w:val="003B643A"/>
    <w:rsid w:val="003B6F48"/>
    <w:rsid w:val="003B703B"/>
    <w:rsid w:val="003C0CBC"/>
    <w:rsid w:val="003C3C9D"/>
    <w:rsid w:val="003C43E2"/>
    <w:rsid w:val="003C562A"/>
    <w:rsid w:val="003C5F3F"/>
    <w:rsid w:val="003C69E6"/>
    <w:rsid w:val="003C77C1"/>
    <w:rsid w:val="003C7F51"/>
    <w:rsid w:val="003D31C2"/>
    <w:rsid w:val="003D42B9"/>
    <w:rsid w:val="003E3B08"/>
    <w:rsid w:val="003E56A4"/>
    <w:rsid w:val="003E5A99"/>
    <w:rsid w:val="003E6037"/>
    <w:rsid w:val="003F10D6"/>
    <w:rsid w:val="003F2CA9"/>
    <w:rsid w:val="003F4E63"/>
    <w:rsid w:val="00402422"/>
    <w:rsid w:val="00402B38"/>
    <w:rsid w:val="00410D5C"/>
    <w:rsid w:val="00410F63"/>
    <w:rsid w:val="004202CD"/>
    <w:rsid w:val="004221E4"/>
    <w:rsid w:val="00431731"/>
    <w:rsid w:val="00432D85"/>
    <w:rsid w:val="00434321"/>
    <w:rsid w:val="0043482F"/>
    <w:rsid w:val="0043521D"/>
    <w:rsid w:val="00440A32"/>
    <w:rsid w:val="00444B93"/>
    <w:rsid w:val="0044583F"/>
    <w:rsid w:val="004467F7"/>
    <w:rsid w:val="004509D3"/>
    <w:rsid w:val="00453327"/>
    <w:rsid w:val="0045385B"/>
    <w:rsid w:val="00463F9C"/>
    <w:rsid w:val="00464314"/>
    <w:rsid w:val="00464DCA"/>
    <w:rsid w:val="00464E4A"/>
    <w:rsid w:val="0046528E"/>
    <w:rsid w:val="00465979"/>
    <w:rsid w:val="00472F12"/>
    <w:rsid w:val="004732B3"/>
    <w:rsid w:val="00473C50"/>
    <w:rsid w:val="00475A0C"/>
    <w:rsid w:val="00475E42"/>
    <w:rsid w:val="004765F5"/>
    <w:rsid w:val="00481051"/>
    <w:rsid w:val="0048532E"/>
    <w:rsid w:val="00485CF5"/>
    <w:rsid w:val="004872B2"/>
    <w:rsid w:val="00490106"/>
    <w:rsid w:val="0049117F"/>
    <w:rsid w:val="00496D68"/>
    <w:rsid w:val="00497149"/>
    <w:rsid w:val="004A2F71"/>
    <w:rsid w:val="004A3380"/>
    <w:rsid w:val="004A397C"/>
    <w:rsid w:val="004A454A"/>
    <w:rsid w:val="004B2146"/>
    <w:rsid w:val="004B2F7A"/>
    <w:rsid w:val="004B3311"/>
    <w:rsid w:val="004B4C19"/>
    <w:rsid w:val="004B68B2"/>
    <w:rsid w:val="004B72B8"/>
    <w:rsid w:val="004C3CA6"/>
    <w:rsid w:val="004C42CD"/>
    <w:rsid w:val="004C52A4"/>
    <w:rsid w:val="004C5320"/>
    <w:rsid w:val="004C53DF"/>
    <w:rsid w:val="004D1689"/>
    <w:rsid w:val="004D1B53"/>
    <w:rsid w:val="004D4EE0"/>
    <w:rsid w:val="004D6B59"/>
    <w:rsid w:val="004D73BA"/>
    <w:rsid w:val="004E0876"/>
    <w:rsid w:val="004E11C6"/>
    <w:rsid w:val="004E1436"/>
    <w:rsid w:val="004E3B31"/>
    <w:rsid w:val="004E4AE3"/>
    <w:rsid w:val="004E6224"/>
    <w:rsid w:val="004E668E"/>
    <w:rsid w:val="004F0637"/>
    <w:rsid w:val="004F0D35"/>
    <w:rsid w:val="004F1EAB"/>
    <w:rsid w:val="004F4C40"/>
    <w:rsid w:val="004F7D44"/>
    <w:rsid w:val="00500DDC"/>
    <w:rsid w:val="005012D6"/>
    <w:rsid w:val="00502B52"/>
    <w:rsid w:val="00503A1B"/>
    <w:rsid w:val="00504FF8"/>
    <w:rsid w:val="0050665D"/>
    <w:rsid w:val="00506DC4"/>
    <w:rsid w:val="00510464"/>
    <w:rsid w:val="00511085"/>
    <w:rsid w:val="00515B45"/>
    <w:rsid w:val="00515C6E"/>
    <w:rsid w:val="00520EC7"/>
    <w:rsid w:val="005247E4"/>
    <w:rsid w:val="0052549B"/>
    <w:rsid w:val="00525CB4"/>
    <w:rsid w:val="00526940"/>
    <w:rsid w:val="00526F9A"/>
    <w:rsid w:val="005356F1"/>
    <w:rsid w:val="00545E88"/>
    <w:rsid w:val="00546B40"/>
    <w:rsid w:val="00546D86"/>
    <w:rsid w:val="00547AC0"/>
    <w:rsid w:val="00552EA3"/>
    <w:rsid w:val="00554F0A"/>
    <w:rsid w:val="00557CC5"/>
    <w:rsid w:val="005604E1"/>
    <w:rsid w:val="0056224B"/>
    <w:rsid w:val="00563913"/>
    <w:rsid w:val="00566652"/>
    <w:rsid w:val="00570741"/>
    <w:rsid w:val="00573151"/>
    <w:rsid w:val="00574EDE"/>
    <w:rsid w:val="00575D11"/>
    <w:rsid w:val="00576983"/>
    <w:rsid w:val="005822F0"/>
    <w:rsid w:val="00584608"/>
    <w:rsid w:val="00584649"/>
    <w:rsid w:val="00585332"/>
    <w:rsid w:val="00586E2D"/>
    <w:rsid w:val="0058711D"/>
    <w:rsid w:val="005905F6"/>
    <w:rsid w:val="005960D4"/>
    <w:rsid w:val="005963C8"/>
    <w:rsid w:val="00596D49"/>
    <w:rsid w:val="005A1393"/>
    <w:rsid w:val="005A1A08"/>
    <w:rsid w:val="005A3653"/>
    <w:rsid w:val="005B1C5C"/>
    <w:rsid w:val="005B3B48"/>
    <w:rsid w:val="005B4F98"/>
    <w:rsid w:val="005B5926"/>
    <w:rsid w:val="005B5F12"/>
    <w:rsid w:val="005B6633"/>
    <w:rsid w:val="005B6ABA"/>
    <w:rsid w:val="005C02D7"/>
    <w:rsid w:val="005C11EC"/>
    <w:rsid w:val="005C1243"/>
    <w:rsid w:val="005C55CE"/>
    <w:rsid w:val="005D1B2E"/>
    <w:rsid w:val="005D1C26"/>
    <w:rsid w:val="005D230E"/>
    <w:rsid w:val="005D5C98"/>
    <w:rsid w:val="005E5813"/>
    <w:rsid w:val="005E662D"/>
    <w:rsid w:val="005E7F2F"/>
    <w:rsid w:val="005F7B5D"/>
    <w:rsid w:val="00601097"/>
    <w:rsid w:val="00604556"/>
    <w:rsid w:val="00604D4B"/>
    <w:rsid w:val="00606D01"/>
    <w:rsid w:val="00610C19"/>
    <w:rsid w:val="0061319B"/>
    <w:rsid w:val="006141F2"/>
    <w:rsid w:val="00614AD3"/>
    <w:rsid w:val="00615E85"/>
    <w:rsid w:val="0062399D"/>
    <w:rsid w:val="00623F00"/>
    <w:rsid w:val="00624EC9"/>
    <w:rsid w:val="006301F1"/>
    <w:rsid w:val="00630BF5"/>
    <w:rsid w:val="00632481"/>
    <w:rsid w:val="006406CF"/>
    <w:rsid w:val="00641578"/>
    <w:rsid w:val="006435F6"/>
    <w:rsid w:val="00645FBF"/>
    <w:rsid w:val="006462B3"/>
    <w:rsid w:val="0064703C"/>
    <w:rsid w:val="00653269"/>
    <w:rsid w:val="006552A1"/>
    <w:rsid w:val="00655383"/>
    <w:rsid w:val="006562CD"/>
    <w:rsid w:val="006653B6"/>
    <w:rsid w:val="00666873"/>
    <w:rsid w:val="0067224E"/>
    <w:rsid w:val="0067490D"/>
    <w:rsid w:val="00675D9F"/>
    <w:rsid w:val="006761D1"/>
    <w:rsid w:val="0068077A"/>
    <w:rsid w:val="00680C16"/>
    <w:rsid w:val="0068134D"/>
    <w:rsid w:val="00683029"/>
    <w:rsid w:val="00685A31"/>
    <w:rsid w:val="00685B13"/>
    <w:rsid w:val="006862BA"/>
    <w:rsid w:val="0068722F"/>
    <w:rsid w:val="00693099"/>
    <w:rsid w:val="0069326E"/>
    <w:rsid w:val="00695D3B"/>
    <w:rsid w:val="00696CD4"/>
    <w:rsid w:val="006A3080"/>
    <w:rsid w:val="006B11D3"/>
    <w:rsid w:val="006B1B9C"/>
    <w:rsid w:val="006B2205"/>
    <w:rsid w:val="006B7FF9"/>
    <w:rsid w:val="006C0547"/>
    <w:rsid w:val="006C1CB8"/>
    <w:rsid w:val="006C1E1A"/>
    <w:rsid w:val="006C20E9"/>
    <w:rsid w:val="006C2AA7"/>
    <w:rsid w:val="006C3718"/>
    <w:rsid w:val="006C4A6A"/>
    <w:rsid w:val="006C60FD"/>
    <w:rsid w:val="006C65D5"/>
    <w:rsid w:val="006C6B5E"/>
    <w:rsid w:val="006D002D"/>
    <w:rsid w:val="006D11EC"/>
    <w:rsid w:val="006D2AF2"/>
    <w:rsid w:val="006D3B13"/>
    <w:rsid w:val="006D3D67"/>
    <w:rsid w:val="006D42F5"/>
    <w:rsid w:val="006D633D"/>
    <w:rsid w:val="006D7123"/>
    <w:rsid w:val="006E0188"/>
    <w:rsid w:val="006E2A8E"/>
    <w:rsid w:val="006E2D1F"/>
    <w:rsid w:val="006E4D23"/>
    <w:rsid w:val="006E71A1"/>
    <w:rsid w:val="006F104A"/>
    <w:rsid w:val="006F12D4"/>
    <w:rsid w:val="006F7AE2"/>
    <w:rsid w:val="00701DCA"/>
    <w:rsid w:val="00702FFA"/>
    <w:rsid w:val="0070431A"/>
    <w:rsid w:val="00714847"/>
    <w:rsid w:val="00714A5A"/>
    <w:rsid w:val="00714C59"/>
    <w:rsid w:val="00715592"/>
    <w:rsid w:val="00715680"/>
    <w:rsid w:val="00715AD9"/>
    <w:rsid w:val="00717B53"/>
    <w:rsid w:val="00717BD0"/>
    <w:rsid w:val="00723F3C"/>
    <w:rsid w:val="00725245"/>
    <w:rsid w:val="00725E12"/>
    <w:rsid w:val="00726DB4"/>
    <w:rsid w:val="007325C1"/>
    <w:rsid w:val="00732BEE"/>
    <w:rsid w:val="0073492D"/>
    <w:rsid w:val="007374DB"/>
    <w:rsid w:val="00740158"/>
    <w:rsid w:val="007417FE"/>
    <w:rsid w:val="007427B3"/>
    <w:rsid w:val="0074464A"/>
    <w:rsid w:val="007456E4"/>
    <w:rsid w:val="00745D64"/>
    <w:rsid w:val="00746A90"/>
    <w:rsid w:val="007475CD"/>
    <w:rsid w:val="007501B7"/>
    <w:rsid w:val="0075307E"/>
    <w:rsid w:val="00756406"/>
    <w:rsid w:val="007579FA"/>
    <w:rsid w:val="0076300A"/>
    <w:rsid w:val="00767578"/>
    <w:rsid w:val="00770C05"/>
    <w:rsid w:val="00770E66"/>
    <w:rsid w:val="00777B0E"/>
    <w:rsid w:val="00783C9E"/>
    <w:rsid w:val="007859A0"/>
    <w:rsid w:val="00786A69"/>
    <w:rsid w:val="00786DC0"/>
    <w:rsid w:val="007875E7"/>
    <w:rsid w:val="00792350"/>
    <w:rsid w:val="00794C04"/>
    <w:rsid w:val="007960FF"/>
    <w:rsid w:val="007A188D"/>
    <w:rsid w:val="007A2C50"/>
    <w:rsid w:val="007A3A25"/>
    <w:rsid w:val="007A3ED1"/>
    <w:rsid w:val="007A5A7B"/>
    <w:rsid w:val="007B01B6"/>
    <w:rsid w:val="007B2B59"/>
    <w:rsid w:val="007B435E"/>
    <w:rsid w:val="007B4A7E"/>
    <w:rsid w:val="007B6FE4"/>
    <w:rsid w:val="007B7932"/>
    <w:rsid w:val="007B7C80"/>
    <w:rsid w:val="007C1C95"/>
    <w:rsid w:val="007C2EF0"/>
    <w:rsid w:val="007C6850"/>
    <w:rsid w:val="007D02D8"/>
    <w:rsid w:val="007D0406"/>
    <w:rsid w:val="007D1805"/>
    <w:rsid w:val="007D2E87"/>
    <w:rsid w:val="007D3808"/>
    <w:rsid w:val="007D5C70"/>
    <w:rsid w:val="007E045F"/>
    <w:rsid w:val="007E0EE8"/>
    <w:rsid w:val="007E18E1"/>
    <w:rsid w:val="007E5B55"/>
    <w:rsid w:val="007E759C"/>
    <w:rsid w:val="007E7FBB"/>
    <w:rsid w:val="007F00F9"/>
    <w:rsid w:val="007F268B"/>
    <w:rsid w:val="007F2E22"/>
    <w:rsid w:val="007F3B96"/>
    <w:rsid w:val="007F468D"/>
    <w:rsid w:val="00800267"/>
    <w:rsid w:val="00803845"/>
    <w:rsid w:val="00806154"/>
    <w:rsid w:val="008074F3"/>
    <w:rsid w:val="00810F6D"/>
    <w:rsid w:val="00814D5D"/>
    <w:rsid w:val="00815380"/>
    <w:rsid w:val="00815BB4"/>
    <w:rsid w:val="00824B94"/>
    <w:rsid w:val="008253FB"/>
    <w:rsid w:val="00825ACD"/>
    <w:rsid w:val="00826AA3"/>
    <w:rsid w:val="00833937"/>
    <w:rsid w:val="008344A2"/>
    <w:rsid w:val="00840B3C"/>
    <w:rsid w:val="008412F8"/>
    <w:rsid w:val="008425E7"/>
    <w:rsid w:val="00842947"/>
    <w:rsid w:val="0084321C"/>
    <w:rsid w:val="008435AE"/>
    <w:rsid w:val="00844DFF"/>
    <w:rsid w:val="00845799"/>
    <w:rsid w:val="008579D5"/>
    <w:rsid w:val="00860162"/>
    <w:rsid w:val="00861EE1"/>
    <w:rsid w:val="00863B31"/>
    <w:rsid w:val="00865304"/>
    <w:rsid w:val="008707D3"/>
    <w:rsid w:val="00873F95"/>
    <w:rsid w:val="0087439A"/>
    <w:rsid w:val="0087664E"/>
    <w:rsid w:val="00881332"/>
    <w:rsid w:val="00883BB8"/>
    <w:rsid w:val="00886652"/>
    <w:rsid w:val="008870A1"/>
    <w:rsid w:val="008870F4"/>
    <w:rsid w:val="00893B32"/>
    <w:rsid w:val="008949C0"/>
    <w:rsid w:val="0089513F"/>
    <w:rsid w:val="00895FB3"/>
    <w:rsid w:val="008A20E2"/>
    <w:rsid w:val="008A5C13"/>
    <w:rsid w:val="008A5E5C"/>
    <w:rsid w:val="008A679B"/>
    <w:rsid w:val="008A7BD3"/>
    <w:rsid w:val="008B15F5"/>
    <w:rsid w:val="008B3948"/>
    <w:rsid w:val="008B5B1C"/>
    <w:rsid w:val="008B766D"/>
    <w:rsid w:val="008B7D20"/>
    <w:rsid w:val="008C1F44"/>
    <w:rsid w:val="008C3B6D"/>
    <w:rsid w:val="008C78B1"/>
    <w:rsid w:val="008D01FA"/>
    <w:rsid w:val="008D3587"/>
    <w:rsid w:val="008E55CA"/>
    <w:rsid w:val="008E5CC2"/>
    <w:rsid w:val="008F1FCE"/>
    <w:rsid w:val="008F6CA5"/>
    <w:rsid w:val="008F7868"/>
    <w:rsid w:val="00903E2D"/>
    <w:rsid w:val="00904332"/>
    <w:rsid w:val="0090632C"/>
    <w:rsid w:val="00914EF6"/>
    <w:rsid w:val="009165E8"/>
    <w:rsid w:val="00916B0A"/>
    <w:rsid w:val="0092308F"/>
    <w:rsid w:val="009251B0"/>
    <w:rsid w:val="00926FC8"/>
    <w:rsid w:val="009304A2"/>
    <w:rsid w:val="00930EE7"/>
    <w:rsid w:val="00931649"/>
    <w:rsid w:val="009345C1"/>
    <w:rsid w:val="00934872"/>
    <w:rsid w:val="00937365"/>
    <w:rsid w:val="00937984"/>
    <w:rsid w:val="009407AC"/>
    <w:rsid w:val="009418D5"/>
    <w:rsid w:val="0094214E"/>
    <w:rsid w:val="009431F2"/>
    <w:rsid w:val="00944A68"/>
    <w:rsid w:val="00944BBC"/>
    <w:rsid w:val="0094506D"/>
    <w:rsid w:val="00945082"/>
    <w:rsid w:val="0094545B"/>
    <w:rsid w:val="0094573C"/>
    <w:rsid w:val="009526DE"/>
    <w:rsid w:val="009536F8"/>
    <w:rsid w:val="0095388B"/>
    <w:rsid w:val="00957323"/>
    <w:rsid w:val="00957CD9"/>
    <w:rsid w:val="00960C75"/>
    <w:rsid w:val="00962F03"/>
    <w:rsid w:val="009632C5"/>
    <w:rsid w:val="00965100"/>
    <w:rsid w:val="00966B04"/>
    <w:rsid w:val="00966ED2"/>
    <w:rsid w:val="00976335"/>
    <w:rsid w:val="009775A4"/>
    <w:rsid w:val="0098154B"/>
    <w:rsid w:val="00982B72"/>
    <w:rsid w:val="00984E58"/>
    <w:rsid w:val="00991F6F"/>
    <w:rsid w:val="00993CD0"/>
    <w:rsid w:val="00996ABE"/>
    <w:rsid w:val="009A4555"/>
    <w:rsid w:val="009A46A8"/>
    <w:rsid w:val="009A7636"/>
    <w:rsid w:val="009B1BCB"/>
    <w:rsid w:val="009B284C"/>
    <w:rsid w:val="009B4BBC"/>
    <w:rsid w:val="009B61CD"/>
    <w:rsid w:val="009B691D"/>
    <w:rsid w:val="009B7611"/>
    <w:rsid w:val="009C2D3E"/>
    <w:rsid w:val="009C4896"/>
    <w:rsid w:val="009C4DDE"/>
    <w:rsid w:val="009C6A95"/>
    <w:rsid w:val="009D0292"/>
    <w:rsid w:val="009D49CE"/>
    <w:rsid w:val="009E0195"/>
    <w:rsid w:val="009E06DA"/>
    <w:rsid w:val="009E7D26"/>
    <w:rsid w:val="009F0C71"/>
    <w:rsid w:val="009F225E"/>
    <w:rsid w:val="009F245D"/>
    <w:rsid w:val="009F61F2"/>
    <w:rsid w:val="00A01234"/>
    <w:rsid w:val="00A032BA"/>
    <w:rsid w:val="00A05761"/>
    <w:rsid w:val="00A0717D"/>
    <w:rsid w:val="00A075A9"/>
    <w:rsid w:val="00A125A6"/>
    <w:rsid w:val="00A14A77"/>
    <w:rsid w:val="00A15551"/>
    <w:rsid w:val="00A15CD7"/>
    <w:rsid w:val="00A16FE3"/>
    <w:rsid w:val="00A20846"/>
    <w:rsid w:val="00A20F73"/>
    <w:rsid w:val="00A217D3"/>
    <w:rsid w:val="00A24B83"/>
    <w:rsid w:val="00A2721A"/>
    <w:rsid w:val="00A326A1"/>
    <w:rsid w:val="00A32D18"/>
    <w:rsid w:val="00A45A71"/>
    <w:rsid w:val="00A5071C"/>
    <w:rsid w:val="00A52490"/>
    <w:rsid w:val="00A52960"/>
    <w:rsid w:val="00A54A56"/>
    <w:rsid w:val="00A54E6B"/>
    <w:rsid w:val="00A559BE"/>
    <w:rsid w:val="00A563B6"/>
    <w:rsid w:val="00A63C65"/>
    <w:rsid w:val="00A66672"/>
    <w:rsid w:val="00A669E4"/>
    <w:rsid w:val="00A6726E"/>
    <w:rsid w:val="00A67808"/>
    <w:rsid w:val="00A727C8"/>
    <w:rsid w:val="00A7424E"/>
    <w:rsid w:val="00A75372"/>
    <w:rsid w:val="00A77039"/>
    <w:rsid w:val="00A83B89"/>
    <w:rsid w:val="00A854CE"/>
    <w:rsid w:val="00A87250"/>
    <w:rsid w:val="00A90B62"/>
    <w:rsid w:val="00A96D84"/>
    <w:rsid w:val="00AA16AD"/>
    <w:rsid w:val="00AA1E4C"/>
    <w:rsid w:val="00AA1F93"/>
    <w:rsid w:val="00AA32C7"/>
    <w:rsid w:val="00AB079D"/>
    <w:rsid w:val="00AB07EA"/>
    <w:rsid w:val="00AB17C5"/>
    <w:rsid w:val="00AB2DB4"/>
    <w:rsid w:val="00AB4C7E"/>
    <w:rsid w:val="00AB556F"/>
    <w:rsid w:val="00AB699F"/>
    <w:rsid w:val="00AB6FB5"/>
    <w:rsid w:val="00AB702A"/>
    <w:rsid w:val="00AC2032"/>
    <w:rsid w:val="00AC31E2"/>
    <w:rsid w:val="00AC52CC"/>
    <w:rsid w:val="00AC6CE1"/>
    <w:rsid w:val="00AD0A0A"/>
    <w:rsid w:val="00AD377B"/>
    <w:rsid w:val="00AD5A9A"/>
    <w:rsid w:val="00AE2104"/>
    <w:rsid w:val="00AE3D40"/>
    <w:rsid w:val="00AE759D"/>
    <w:rsid w:val="00AE7A41"/>
    <w:rsid w:val="00AF17B6"/>
    <w:rsid w:val="00AF573F"/>
    <w:rsid w:val="00AF6BA9"/>
    <w:rsid w:val="00AF705A"/>
    <w:rsid w:val="00B00F49"/>
    <w:rsid w:val="00B0226A"/>
    <w:rsid w:val="00B028E6"/>
    <w:rsid w:val="00B05B83"/>
    <w:rsid w:val="00B07D24"/>
    <w:rsid w:val="00B07F00"/>
    <w:rsid w:val="00B1761A"/>
    <w:rsid w:val="00B237C2"/>
    <w:rsid w:val="00B2535F"/>
    <w:rsid w:val="00B25D30"/>
    <w:rsid w:val="00B26F0E"/>
    <w:rsid w:val="00B27D04"/>
    <w:rsid w:val="00B30E0D"/>
    <w:rsid w:val="00B31F32"/>
    <w:rsid w:val="00B34A3D"/>
    <w:rsid w:val="00B35785"/>
    <w:rsid w:val="00B35862"/>
    <w:rsid w:val="00B44541"/>
    <w:rsid w:val="00B45122"/>
    <w:rsid w:val="00B46FCD"/>
    <w:rsid w:val="00B521A6"/>
    <w:rsid w:val="00B527F1"/>
    <w:rsid w:val="00B6058D"/>
    <w:rsid w:val="00B66495"/>
    <w:rsid w:val="00B66B48"/>
    <w:rsid w:val="00B67C5E"/>
    <w:rsid w:val="00B71F65"/>
    <w:rsid w:val="00B72A69"/>
    <w:rsid w:val="00B73FC2"/>
    <w:rsid w:val="00B74F3B"/>
    <w:rsid w:val="00B75646"/>
    <w:rsid w:val="00B75941"/>
    <w:rsid w:val="00B84477"/>
    <w:rsid w:val="00B84CE0"/>
    <w:rsid w:val="00B86F37"/>
    <w:rsid w:val="00BA02CE"/>
    <w:rsid w:val="00BA0BC9"/>
    <w:rsid w:val="00BA1F5D"/>
    <w:rsid w:val="00BA6CCA"/>
    <w:rsid w:val="00BB2B4A"/>
    <w:rsid w:val="00BB5DED"/>
    <w:rsid w:val="00BC45A5"/>
    <w:rsid w:val="00BC5296"/>
    <w:rsid w:val="00BC7FE4"/>
    <w:rsid w:val="00BD0DBA"/>
    <w:rsid w:val="00BD0FB0"/>
    <w:rsid w:val="00BD0FB9"/>
    <w:rsid w:val="00BD459B"/>
    <w:rsid w:val="00BD5C3E"/>
    <w:rsid w:val="00BD6010"/>
    <w:rsid w:val="00BD79F1"/>
    <w:rsid w:val="00BE652B"/>
    <w:rsid w:val="00BE6C8D"/>
    <w:rsid w:val="00BF0A6D"/>
    <w:rsid w:val="00BF12D2"/>
    <w:rsid w:val="00BF227C"/>
    <w:rsid w:val="00BF451B"/>
    <w:rsid w:val="00BF4977"/>
    <w:rsid w:val="00BF5177"/>
    <w:rsid w:val="00C01C9F"/>
    <w:rsid w:val="00C03DE0"/>
    <w:rsid w:val="00C05772"/>
    <w:rsid w:val="00C05AA5"/>
    <w:rsid w:val="00C05D9A"/>
    <w:rsid w:val="00C05E2A"/>
    <w:rsid w:val="00C13527"/>
    <w:rsid w:val="00C13BB9"/>
    <w:rsid w:val="00C13EA0"/>
    <w:rsid w:val="00C155AC"/>
    <w:rsid w:val="00C15D1F"/>
    <w:rsid w:val="00C16C3A"/>
    <w:rsid w:val="00C2251A"/>
    <w:rsid w:val="00C22BCE"/>
    <w:rsid w:val="00C23483"/>
    <w:rsid w:val="00C23EC4"/>
    <w:rsid w:val="00C26062"/>
    <w:rsid w:val="00C26DEC"/>
    <w:rsid w:val="00C32076"/>
    <w:rsid w:val="00C35F65"/>
    <w:rsid w:val="00C3631E"/>
    <w:rsid w:val="00C3684A"/>
    <w:rsid w:val="00C403AA"/>
    <w:rsid w:val="00C415CF"/>
    <w:rsid w:val="00C442D3"/>
    <w:rsid w:val="00C47CD8"/>
    <w:rsid w:val="00C54146"/>
    <w:rsid w:val="00C55150"/>
    <w:rsid w:val="00C565B4"/>
    <w:rsid w:val="00C63B08"/>
    <w:rsid w:val="00C64F49"/>
    <w:rsid w:val="00C66D40"/>
    <w:rsid w:val="00C7117D"/>
    <w:rsid w:val="00C71885"/>
    <w:rsid w:val="00C80079"/>
    <w:rsid w:val="00C81270"/>
    <w:rsid w:val="00C82BF9"/>
    <w:rsid w:val="00C83B8B"/>
    <w:rsid w:val="00C846EE"/>
    <w:rsid w:val="00C85125"/>
    <w:rsid w:val="00C90B35"/>
    <w:rsid w:val="00C93051"/>
    <w:rsid w:val="00C931CF"/>
    <w:rsid w:val="00C93FA7"/>
    <w:rsid w:val="00C941D6"/>
    <w:rsid w:val="00CA0B5F"/>
    <w:rsid w:val="00CA1E70"/>
    <w:rsid w:val="00CA6191"/>
    <w:rsid w:val="00CB1B5B"/>
    <w:rsid w:val="00CC0E49"/>
    <w:rsid w:val="00CC2524"/>
    <w:rsid w:val="00CC2B36"/>
    <w:rsid w:val="00CC2BD8"/>
    <w:rsid w:val="00CC416F"/>
    <w:rsid w:val="00CC4418"/>
    <w:rsid w:val="00CC6742"/>
    <w:rsid w:val="00CC6B95"/>
    <w:rsid w:val="00CD0BF6"/>
    <w:rsid w:val="00CD124F"/>
    <w:rsid w:val="00CD23D1"/>
    <w:rsid w:val="00CE77B4"/>
    <w:rsid w:val="00CF1142"/>
    <w:rsid w:val="00CF3817"/>
    <w:rsid w:val="00D07CD8"/>
    <w:rsid w:val="00D104DA"/>
    <w:rsid w:val="00D10B7F"/>
    <w:rsid w:val="00D11D4C"/>
    <w:rsid w:val="00D12872"/>
    <w:rsid w:val="00D16B43"/>
    <w:rsid w:val="00D20B39"/>
    <w:rsid w:val="00D21D1D"/>
    <w:rsid w:val="00D21DA5"/>
    <w:rsid w:val="00D23847"/>
    <w:rsid w:val="00D25A29"/>
    <w:rsid w:val="00D32307"/>
    <w:rsid w:val="00D32AD1"/>
    <w:rsid w:val="00D35888"/>
    <w:rsid w:val="00D35AAD"/>
    <w:rsid w:val="00D36A2D"/>
    <w:rsid w:val="00D43095"/>
    <w:rsid w:val="00D43673"/>
    <w:rsid w:val="00D44411"/>
    <w:rsid w:val="00D45013"/>
    <w:rsid w:val="00D502CA"/>
    <w:rsid w:val="00D53BF8"/>
    <w:rsid w:val="00D55680"/>
    <w:rsid w:val="00D61AC2"/>
    <w:rsid w:val="00D61B6B"/>
    <w:rsid w:val="00D66072"/>
    <w:rsid w:val="00D72CB3"/>
    <w:rsid w:val="00D73087"/>
    <w:rsid w:val="00D74A86"/>
    <w:rsid w:val="00D77C27"/>
    <w:rsid w:val="00D81BB3"/>
    <w:rsid w:val="00D81D43"/>
    <w:rsid w:val="00D81E30"/>
    <w:rsid w:val="00D83A1C"/>
    <w:rsid w:val="00D84391"/>
    <w:rsid w:val="00D848EE"/>
    <w:rsid w:val="00D9313A"/>
    <w:rsid w:val="00D97307"/>
    <w:rsid w:val="00DA3046"/>
    <w:rsid w:val="00DA4300"/>
    <w:rsid w:val="00DA5986"/>
    <w:rsid w:val="00DA680E"/>
    <w:rsid w:val="00DA6A41"/>
    <w:rsid w:val="00DB322C"/>
    <w:rsid w:val="00DB38B5"/>
    <w:rsid w:val="00DC00DE"/>
    <w:rsid w:val="00DC06CB"/>
    <w:rsid w:val="00DC2642"/>
    <w:rsid w:val="00DC3B19"/>
    <w:rsid w:val="00DC6A13"/>
    <w:rsid w:val="00DD08D2"/>
    <w:rsid w:val="00DD0F63"/>
    <w:rsid w:val="00DD5803"/>
    <w:rsid w:val="00DD5FA8"/>
    <w:rsid w:val="00DE0FAD"/>
    <w:rsid w:val="00DE1BA6"/>
    <w:rsid w:val="00DE6855"/>
    <w:rsid w:val="00DF06F4"/>
    <w:rsid w:val="00DF28EB"/>
    <w:rsid w:val="00DF2B40"/>
    <w:rsid w:val="00DF43E3"/>
    <w:rsid w:val="00E006A8"/>
    <w:rsid w:val="00E00757"/>
    <w:rsid w:val="00E01380"/>
    <w:rsid w:val="00E032D6"/>
    <w:rsid w:val="00E04E30"/>
    <w:rsid w:val="00E12939"/>
    <w:rsid w:val="00E1327B"/>
    <w:rsid w:val="00E169C0"/>
    <w:rsid w:val="00E202EE"/>
    <w:rsid w:val="00E20328"/>
    <w:rsid w:val="00E20C7C"/>
    <w:rsid w:val="00E21862"/>
    <w:rsid w:val="00E2298E"/>
    <w:rsid w:val="00E2299B"/>
    <w:rsid w:val="00E23E3D"/>
    <w:rsid w:val="00E24EFD"/>
    <w:rsid w:val="00E26A2D"/>
    <w:rsid w:val="00E26C54"/>
    <w:rsid w:val="00E26EEC"/>
    <w:rsid w:val="00E272F5"/>
    <w:rsid w:val="00E27ED9"/>
    <w:rsid w:val="00E30E4C"/>
    <w:rsid w:val="00E30FAC"/>
    <w:rsid w:val="00E42976"/>
    <w:rsid w:val="00E43B0C"/>
    <w:rsid w:val="00E44EA0"/>
    <w:rsid w:val="00E44F15"/>
    <w:rsid w:val="00E533AD"/>
    <w:rsid w:val="00E53665"/>
    <w:rsid w:val="00E54D67"/>
    <w:rsid w:val="00E550D6"/>
    <w:rsid w:val="00E610BA"/>
    <w:rsid w:val="00E620A7"/>
    <w:rsid w:val="00E649DC"/>
    <w:rsid w:val="00E661CA"/>
    <w:rsid w:val="00E71EE8"/>
    <w:rsid w:val="00E74BC4"/>
    <w:rsid w:val="00E757C8"/>
    <w:rsid w:val="00E779DD"/>
    <w:rsid w:val="00E806AE"/>
    <w:rsid w:val="00E81C56"/>
    <w:rsid w:val="00E835DF"/>
    <w:rsid w:val="00E86808"/>
    <w:rsid w:val="00E86D27"/>
    <w:rsid w:val="00E87F64"/>
    <w:rsid w:val="00E900CD"/>
    <w:rsid w:val="00E904F6"/>
    <w:rsid w:val="00E9228B"/>
    <w:rsid w:val="00E93781"/>
    <w:rsid w:val="00E95008"/>
    <w:rsid w:val="00E9680F"/>
    <w:rsid w:val="00E96E8A"/>
    <w:rsid w:val="00E96F4C"/>
    <w:rsid w:val="00EA0189"/>
    <w:rsid w:val="00EA10FA"/>
    <w:rsid w:val="00EA19E7"/>
    <w:rsid w:val="00EA34BC"/>
    <w:rsid w:val="00EA3F53"/>
    <w:rsid w:val="00EA7677"/>
    <w:rsid w:val="00EB0C43"/>
    <w:rsid w:val="00EB411A"/>
    <w:rsid w:val="00EB4FDF"/>
    <w:rsid w:val="00EC042A"/>
    <w:rsid w:val="00EC0702"/>
    <w:rsid w:val="00EC2DB1"/>
    <w:rsid w:val="00EC747D"/>
    <w:rsid w:val="00ED2114"/>
    <w:rsid w:val="00ED55FD"/>
    <w:rsid w:val="00EE1D19"/>
    <w:rsid w:val="00EE1D9E"/>
    <w:rsid w:val="00EE2338"/>
    <w:rsid w:val="00EE7FCA"/>
    <w:rsid w:val="00EF222C"/>
    <w:rsid w:val="00EF3D42"/>
    <w:rsid w:val="00EF4AC8"/>
    <w:rsid w:val="00EF51E3"/>
    <w:rsid w:val="00EF68BD"/>
    <w:rsid w:val="00EF6A4C"/>
    <w:rsid w:val="00EF79FD"/>
    <w:rsid w:val="00F0060D"/>
    <w:rsid w:val="00F00722"/>
    <w:rsid w:val="00F01039"/>
    <w:rsid w:val="00F01371"/>
    <w:rsid w:val="00F079CC"/>
    <w:rsid w:val="00F10AAE"/>
    <w:rsid w:val="00F13F5B"/>
    <w:rsid w:val="00F20085"/>
    <w:rsid w:val="00F20E10"/>
    <w:rsid w:val="00F310CE"/>
    <w:rsid w:val="00F31D1B"/>
    <w:rsid w:val="00F34E2B"/>
    <w:rsid w:val="00F366FF"/>
    <w:rsid w:val="00F367EC"/>
    <w:rsid w:val="00F37810"/>
    <w:rsid w:val="00F41D97"/>
    <w:rsid w:val="00F4230D"/>
    <w:rsid w:val="00F43562"/>
    <w:rsid w:val="00F44B25"/>
    <w:rsid w:val="00F4578B"/>
    <w:rsid w:val="00F47113"/>
    <w:rsid w:val="00F47921"/>
    <w:rsid w:val="00F52655"/>
    <w:rsid w:val="00F52849"/>
    <w:rsid w:val="00F61AB2"/>
    <w:rsid w:val="00F62D85"/>
    <w:rsid w:val="00F63281"/>
    <w:rsid w:val="00F64C2E"/>
    <w:rsid w:val="00F676C1"/>
    <w:rsid w:val="00F71FAE"/>
    <w:rsid w:val="00F735DA"/>
    <w:rsid w:val="00F77D11"/>
    <w:rsid w:val="00F810A5"/>
    <w:rsid w:val="00F83021"/>
    <w:rsid w:val="00F83AA4"/>
    <w:rsid w:val="00F85219"/>
    <w:rsid w:val="00F8757A"/>
    <w:rsid w:val="00F87C2E"/>
    <w:rsid w:val="00F9082A"/>
    <w:rsid w:val="00F90CA8"/>
    <w:rsid w:val="00F938ED"/>
    <w:rsid w:val="00FA05AA"/>
    <w:rsid w:val="00FA2A82"/>
    <w:rsid w:val="00FA3A48"/>
    <w:rsid w:val="00FA4791"/>
    <w:rsid w:val="00FA5364"/>
    <w:rsid w:val="00FB0F6A"/>
    <w:rsid w:val="00FB17C8"/>
    <w:rsid w:val="00FB3ADA"/>
    <w:rsid w:val="00FB708E"/>
    <w:rsid w:val="00FB759B"/>
    <w:rsid w:val="00FB77A2"/>
    <w:rsid w:val="00FC1573"/>
    <w:rsid w:val="00FC44EC"/>
    <w:rsid w:val="00FD067D"/>
    <w:rsid w:val="00FD31EE"/>
    <w:rsid w:val="00FD59BC"/>
    <w:rsid w:val="00FD6027"/>
    <w:rsid w:val="00FD69D6"/>
    <w:rsid w:val="00FD7202"/>
    <w:rsid w:val="00FE4079"/>
    <w:rsid w:val="00FE54B5"/>
    <w:rsid w:val="00FE5BFE"/>
    <w:rsid w:val="00FE5D8C"/>
    <w:rsid w:val="00FE6B5E"/>
    <w:rsid w:val="00FF025B"/>
    <w:rsid w:val="00FF151C"/>
    <w:rsid w:val="00FF15DB"/>
    <w:rsid w:val="00FF47F2"/>
    <w:rsid w:val="00FF4F61"/>
    <w:rsid w:val="00FF679F"/>
    <w:rsid w:val="00FF6C05"/>
    <w:rsid w:val="014D28C9"/>
    <w:rsid w:val="019B53E2"/>
    <w:rsid w:val="01B97F5E"/>
    <w:rsid w:val="0256755B"/>
    <w:rsid w:val="03681C3C"/>
    <w:rsid w:val="038A1BB2"/>
    <w:rsid w:val="045D2E23"/>
    <w:rsid w:val="054B5371"/>
    <w:rsid w:val="05CF5FA2"/>
    <w:rsid w:val="0633208D"/>
    <w:rsid w:val="065169B7"/>
    <w:rsid w:val="069468A4"/>
    <w:rsid w:val="06A82ED2"/>
    <w:rsid w:val="06B32101"/>
    <w:rsid w:val="0720506B"/>
    <w:rsid w:val="073D1FEE"/>
    <w:rsid w:val="08F96916"/>
    <w:rsid w:val="0A5731C8"/>
    <w:rsid w:val="0A8455AD"/>
    <w:rsid w:val="0ABF65E6"/>
    <w:rsid w:val="0AD35BED"/>
    <w:rsid w:val="0B494D6A"/>
    <w:rsid w:val="0B9C6927"/>
    <w:rsid w:val="0BEA58E4"/>
    <w:rsid w:val="0D470B14"/>
    <w:rsid w:val="0D837D9E"/>
    <w:rsid w:val="0E063E6A"/>
    <w:rsid w:val="0E8D2557"/>
    <w:rsid w:val="0EEA1757"/>
    <w:rsid w:val="0F204B8F"/>
    <w:rsid w:val="0F6B4FD7"/>
    <w:rsid w:val="0FA61B22"/>
    <w:rsid w:val="11D72352"/>
    <w:rsid w:val="12541D09"/>
    <w:rsid w:val="125A6BF4"/>
    <w:rsid w:val="12B24C82"/>
    <w:rsid w:val="12CE7151"/>
    <w:rsid w:val="13495643"/>
    <w:rsid w:val="13547AE7"/>
    <w:rsid w:val="14357918"/>
    <w:rsid w:val="14A423A8"/>
    <w:rsid w:val="14BF0C39"/>
    <w:rsid w:val="14D7277E"/>
    <w:rsid w:val="15237771"/>
    <w:rsid w:val="161C2B3E"/>
    <w:rsid w:val="16481B85"/>
    <w:rsid w:val="167B44B3"/>
    <w:rsid w:val="17C972FA"/>
    <w:rsid w:val="17FD8F84"/>
    <w:rsid w:val="18C9062F"/>
    <w:rsid w:val="1934510F"/>
    <w:rsid w:val="19FC5284"/>
    <w:rsid w:val="1A516B2E"/>
    <w:rsid w:val="1A562397"/>
    <w:rsid w:val="1A78230D"/>
    <w:rsid w:val="1A79617E"/>
    <w:rsid w:val="1C387FA6"/>
    <w:rsid w:val="1D0B1216"/>
    <w:rsid w:val="1D61177E"/>
    <w:rsid w:val="1DDF5DE6"/>
    <w:rsid w:val="1DF6EC31"/>
    <w:rsid w:val="1E3538A7"/>
    <w:rsid w:val="1F7312F5"/>
    <w:rsid w:val="20F46465"/>
    <w:rsid w:val="215B452B"/>
    <w:rsid w:val="22837AA1"/>
    <w:rsid w:val="22851A6B"/>
    <w:rsid w:val="233F7E6C"/>
    <w:rsid w:val="23B24AE2"/>
    <w:rsid w:val="241F6EE2"/>
    <w:rsid w:val="24EC7B7F"/>
    <w:rsid w:val="25713323"/>
    <w:rsid w:val="25B84A72"/>
    <w:rsid w:val="26A420F2"/>
    <w:rsid w:val="27DA63B5"/>
    <w:rsid w:val="27FD1429"/>
    <w:rsid w:val="296879F1"/>
    <w:rsid w:val="2A1738F0"/>
    <w:rsid w:val="2A4D10C0"/>
    <w:rsid w:val="2A5063FA"/>
    <w:rsid w:val="2A8D3BB3"/>
    <w:rsid w:val="2B0379D1"/>
    <w:rsid w:val="2B271847"/>
    <w:rsid w:val="2B457268"/>
    <w:rsid w:val="2C64442B"/>
    <w:rsid w:val="2C990A3D"/>
    <w:rsid w:val="2D5B4C0F"/>
    <w:rsid w:val="2DC071FE"/>
    <w:rsid w:val="2DEA5B9A"/>
    <w:rsid w:val="2E2E4040"/>
    <w:rsid w:val="2EA43279"/>
    <w:rsid w:val="2ECF3234"/>
    <w:rsid w:val="2FE15C2D"/>
    <w:rsid w:val="30110DE2"/>
    <w:rsid w:val="311F752F"/>
    <w:rsid w:val="31215055"/>
    <w:rsid w:val="31C679AA"/>
    <w:rsid w:val="32EC4C19"/>
    <w:rsid w:val="337E678E"/>
    <w:rsid w:val="34190265"/>
    <w:rsid w:val="345E036E"/>
    <w:rsid w:val="34AB5956"/>
    <w:rsid w:val="35775243"/>
    <w:rsid w:val="3583105E"/>
    <w:rsid w:val="3651018A"/>
    <w:rsid w:val="36A4069E"/>
    <w:rsid w:val="36CE1162"/>
    <w:rsid w:val="36F7A3B7"/>
    <w:rsid w:val="37495343"/>
    <w:rsid w:val="385B0948"/>
    <w:rsid w:val="3885411B"/>
    <w:rsid w:val="389B749B"/>
    <w:rsid w:val="38AF73EA"/>
    <w:rsid w:val="38BC19CC"/>
    <w:rsid w:val="39E94C4C"/>
    <w:rsid w:val="3A663E77"/>
    <w:rsid w:val="3B245E6D"/>
    <w:rsid w:val="3B42760A"/>
    <w:rsid w:val="3B67EEAC"/>
    <w:rsid w:val="3B8E778B"/>
    <w:rsid w:val="3B9B0947"/>
    <w:rsid w:val="3BFB42AC"/>
    <w:rsid w:val="3C1201E9"/>
    <w:rsid w:val="3C8C1F1C"/>
    <w:rsid w:val="3C9012E0"/>
    <w:rsid w:val="3CBB45AF"/>
    <w:rsid w:val="3D1D171B"/>
    <w:rsid w:val="3DC723DA"/>
    <w:rsid w:val="3EC763B8"/>
    <w:rsid w:val="3F0538C0"/>
    <w:rsid w:val="3F073F02"/>
    <w:rsid w:val="3F2635B4"/>
    <w:rsid w:val="40251D40"/>
    <w:rsid w:val="402A195F"/>
    <w:rsid w:val="412C3BBF"/>
    <w:rsid w:val="41367B0D"/>
    <w:rsid w:val="41765073"/>
    <w:rsid w:val="41AA4BF2"/>
    <w:rsid w:val="41D43A1D"/>
    <w:rsid w:val="423132BE"/>
    <w:rsid w:val="426254CD"/>
    <w:rsid w:val="427976F1"/>
    <w:rsid w:val="42B86E9B"/>
    <w:rsid w:val="42D57A4D"/>
    <w:rsid w:val="438F11FE"/>
    <w:rsid w:val="43CB5FFC"/>
    <w:rsid w:val="43CC263C"/>
    <w:rsid w:val="4609638B"/>
    <w:rsid w:val="462635EA"/>
    <w:rsid w:val="468E4AE3"/>
    <w:rsid w:val="47084895"/>
    <w:rsid w:val="47136D96"/>
    <w:rsid w:val="47213261"/>
    <w:rsid w:val="4734568A"/>
    <w:rsid w:val="479F8984"/>
    <w:rsid w:val="47FA5511"/>
    <w:rsid w:val="481E59F2"/>
    <w:rsid w:val="48684EBF"/>
    <w:rsid w:val="487B2E45"/>
    <w:rsid w:val="489467BF"/>
    <w:rsid w:val="48DF33D4"/>
    <w:rsid w:val="490E5A67"/>
    <w:rsid w:val="491D214E"/>
    <w:rsid w:val="494058E6"/>
    <w:rsid w:val="49425710"/>
    <w:rsid w:val="4A945154"/>
    <w:rsid w:val="4AD30A48"/>
    <w:rsid w:val="4B0E52FA"/>
    <w:rsid w:val="4B660CDD"/>
    <w:rsid w:val="4B92297F"/>
    <w:rsid w:val="4BAA7EA4"/>
    <w:rsid w:val="4BB616EF"/>
    <w:rsid w:val="4C485734"/>
    <w:rsid w:val="4C523EBC"/>
    <w:rsid w:val="4D371A30"/>
    <w:rsid w:val="4D7F5A04"/>
    <w:rsid w:val="4DD3102D"/>
    <w:rsid w:val="4E345F70"/>
    <w:rsid w:val="4ECF3EEA"/>
    <w:rsid w:val="4ED19B43"/>
    <w:rsid w:val="4EE259CC"/>
    <w:rsid w:val="4FFE4036"/>
    <w:rsid w:val="502B73F4"/>
    <w:rsid w:val="5137107E"/>
    <w:rsid w:val="51404C2B"/>
    <w:rsid w:val="51A67184"/>
    <w:rsid w:val="51AC0B8B"/>
    <w:rsid w:val="51E82DAD"/>
    <w:rsid w:val="526A6404"/>
    <w:rsid w:val="52A5743C"/>
    <w:rsid w:val="532F4F57"/>
    <w:rsid w:val="5516017D"/>
    <w:rsid w:val="55B856D8"/>
    <w:rsid w:val="55DB3175"/>
    <w:rsid w:val="5679532A"/>
    <w:rsid w:val="5705494D"/>
    <w:rsid w:val="57447EB8"/>
    <w:rsid w:val="57B607BB"/>
    <w:rsid w:val="57E36310"/>
    <w:rsid w:val="5827444F"/>
    <w:rsid w:val="587BE6C2"/>
    <w:rsid w:val="59767CF7"/>
    <w:rsid w:val="59933B19"/>
    <w:rsid w:val="5A5D71D1"/>
    <w:rsid w:val="5A7371D9"/>
    <w:rsid w:val="5AAA617E"/>
    <w:rsid w:val="5AB87F28"/>
    <w:rsid w:val="5ABF4E13"/>
    <w:rsid w:val="5ADF1011"/>
    <w:rsid w:val="5C0D1BAE"/>
    <w:rsid w:val="5CBD5382"/>
    <w:rsid w:val="5D221689"/>
    <w:rsid w:val="5D443CF5"/>
    <w:rsid w:val="5DFFF8AE"/>
    <w:rsid w:val="5E5B4E53"/>
    <w:rsid w:val="5FFBBDAB"/>
    <w:rsid w:val="604F5912"/>
    <w:rsid w:val="611302F8"/>
    <w:rsid w:val="612754C0"/>
    <w:rsid w:val="61677C31"/>
    <w:rsid w:val="61867B8D"/>
    <w:rsid w:val="619D39D4"/>
    <w:rsid w:val="61C16941"/>
    <w:rsid w:val="61C86CA3"/>
    <w:rsid w:val="62315960"/>
    <w:rsid w:val="626E07ED"/>
    <w:rsid w:val="62751A14"/>
    <w:rsid w:val="63CE4319"/>
    <w:rsid w:val="63E42AF9"/>
    <w:rsid w:val="63FECE53"/>
    <w:rsid w:val="64B31A4D"/>
    <w:rsid w:val="650C334B"/>
    <w:rsid w:val="66377F53"/>
    <w:rsid w:val="669B6734"/>
    <w:rsid w:val="671604B0"/>
    <w:rsid w:val="67254250"/>
    <w:rsid w:val="67573BEE"/>
    <w:rsid w:val="676905E0"/>
    <w:rsid w:val="67FB03D6"/>
    <w:rsid w:val="68281903"/>
    <w:rsid w:val="68923B67"/>
    <w:rsid w:val="68AF64C7"/>
    <w:rsid w:val="68D26136"/>
    <w:rsid w:val="68E048D2"/>
    <w:rsid w:val="68F91E38"/>
    <w:rsid w:val="6B9419A4"/>
    <w:rsid w:val="6BA03F75"/>
    <w:rsid w:val="6C007039"/>
    <w:rsid w:val="6C1A634D"/>
    <w:rsid w:val="6C702411"/>
    <w:rsid w:val="6CBFFD20"/>
    <w:rsid w:val="6CD23598"/>
    <w:rsid w:val="6D0D7EFA"/>
    <w:rsid w:val="6D177E37"/>
    <w:rsid w:val="6D594C53"/>
    <w:rsid w:val="6D8D2B4F"/>
    <w:rsid w:val="6DD7C9B6"/>
    <w:rsid w:val="6DFB5370"/>
    <w:rsid w:val="6E7004A6"/>
    <w:rsid w:val="6EB04D47"/>
    <w:rsid w:val="6F502086"/>
    <w:rsid w:val="6FBF3DF6"/>
    <w:rsid w:val="6FD34A1A"/>
    <w:rsid w:val="6FDF4919"/>
    <w:rsid w:val="70096E04"/>
    <w:rsid w:val="7177B2E2"/>
    <w:rsid w:val="71CB630D"/>
    <w:rsid w:val="72402885"/>
    <w:rsid w:val="725283E0"/>
    <w:rsid w:val="733221CE"/>
    <w:rsid w:val="73AB1F81"/>
    <w:rsid w:val="73D2750D"/>
    <w:rsid w:val="74786853"/>
    <w:rsid w:val="7501454E"/>
    <w:rsid w:val="753C7334"/>
    <w:rsid w:val="75807D12"/>
    <w:rsid w:val="75952EE8"/>
    <w:rsid w:val="75976C60"/>
    <w:rsid w:val="75D02172"/>
    <w:rsid w:val="77793A96"/>
    <w:rsid w:val="77FFF809"/>
    <w:rsid w:val="780622DC"/>
    <w:rsid w:val="787768D5"/>
    <w:rsid w:val="78E10D69"/>
    <w:rsid w:val="79517126"/>
    <w:rsid w:val="798E2752"/>
    <w:rsid w:val="79F725B2"/>
    <w:rsid w:val="7A9419C0"/>
    <w:rsid w:val="7AD26045"/>
    <w:rsid w:val="7AEC35AA"/>
    <w:rsid w:val="7B571C68"/>
    <w:rsid w:val="7BE56054"/>
    <w:rsid w:val="7BF7F227"/>
    <w:rsid w:val="7C136915"/>
    <w:rsid w:val="7C181D26"/>
    <w:rsid w:val="7C2E374F"/>
    <w:rsid w:val="7CA659DB"/>
    <w:rsid w:val="7CFB1D93"/>
    <w:rsid w:val="7D423956"/>
    <w:rsid w:val="7DAB6914"/>
    <w:rsid w:val="7DE6101D"/>
    <w:rsid w:val="7DFE5D17"/>
    <w:rsid w:val="7EBA30CA"/>
    <w:rsid w:val="7EBA4104"/>
    <w:rsid w:val="7EC32874"/>
    <w:rsid w:val="7EFF9563"/>
    <w:rsid w:val="7F1B3BA6"/>
    <w:rsid w:val="7F256ECC"/>
    <w:rsid w:val="7F3C3B4D"/>
    <w:rsid w:val="7F5F5F0B"/>
    <w:rsid w:val="7FB77E5F"/>
    <w:rsid w:val="7FF16F6D"/>
    <w:rsid w:val="7FF802FC"/>
    <w:rsid w:val="7FFD738E"/>
    <w:rsid w:val="8FDD1C17"/>
    <w:rsid w:val="963E6D21"/>
    <w:rsid w:val="9EB79DD2"/>
    <w:rsid w:val="9FE7BC16"/>
    <w:rsid w:val="B7EF7986"/>
    <w:rsid w:val="B9F63102"/>
    <w:rsid w:val="B9FDA9CE"/>
    <w:rsid w:val="BE6D665E"/>
    <w:rsid w:val="BF7B0632"/>
    <w:rsid w:val="BFBF0826"/>
    <w:rsid w:val="CB754C6D"/>
    <w:rsid w:val="CFDF0F52"/>
    <w:rsid w:val="D57F35A4"/>
    <w:rsid w:val="D6DB3FF4"/>
    <w:rsid w:val="DFBDA334"/>
    <w:rsid w:val="E7CDEE14"/>
    <w:rsid w:val="EAFEF7DC"/>
    <w:rsid w:val="EAFFB6D3"/>
    <w:rsid w:val="EDFFBF60"/>
    <w:rsid w:val="EF78C672"/>
    <w:rsid w:val="EFBB6DC5"/>
    <w:rsid w:val="F07AF50E"/>
    <w:rsid w:val="F6747C7F"/>
    <w:rsid w:val="F6A91FFD"/>
    <w:rsid w:val="F6D9FDD6"/>
    <w:rsid w:val="F7DE0199"/>
    <w:rsid w:val="F7DF3A36"/>
    <w:rsid w:val="F7DFEBB4"/>
    <w:rsid w:val="F7F96536"/>
    <w:rsid w:val="FB7FCA4A"/>
    <w:rsid w:val="FEFFA161"/>
    <w:rsid w:val="FF8AE5ED"/>
    <w:rsid w:val="FFAB3BDB"/>
    <w:rsid w:val="FFD784D6"/>
    <w:rsid w:val="FFDF9242"/>
    <w:rsid w:val="FFE761D1"/>
    <w:rsid w:val="FFFFA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宋体" w:hAnsi="宋体" w:eastAsia="宋体" w:cs="宋体"/>
      <w:sz w:val="24"/>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Closing"/>
    <w:qFormat/>
    <w:uiPriority w:val="0"/>
    <w:pPr>
      <w:widowControl w:val="0"/>
      <w:spacing w:after="160" w:line="278" w:lineRule="auto"/>
      <w:ind w:left="100" w:leftChars="2100"/>
      <w:jc w:val="both"/>
    </w:pPr>
    <w:rPr>
      <w:rFonts w:ascii="Calibri" w:hAnsi="Calibri" w:eastAsia="宋体" w:cs="Times New Roman"/>
      <w:kern w:val="2"/>
      <w:sz w:val="24"/>
      <w:szCs w:val="24"/>
      <w:lang w:val="en-US" w:eastAsia="zh-CN" w:bidi="ar-SA"/>
    </w:rPr>
  </w:style>
  <w:style w:type="paragraph" w:styleId="4">
    <w:name w:val="Body Text"/>
    <w:basedOn w:val="1"/>
    <w:next w:val="1"/>
    <w:unhideWhenUsed/>
    <w:qFormat/>
    <w:uiPriority w:val="99"/>
    <w:pPr>
      <w:spacing w:after="120"/>
    </w:pPr>
    <w:rPr>
      <w:rFonts w:ascii="Calibri" w:hAnsi="Calibri"/>
    </w:rPr>
  </w:style>
  <w:style w:type="paragraph" w:styleId="5">
    <w:name w:val="footer"/>
    <w:basedOn w:val="1"/>
    <w:link w:val="12"/>
    <w:qFormat/>
    <w:uiPriority w:val="0"/>
    <w:pPr>
      <w:tabs>
        <w:tab w:val="center" w:pos="4153"/>
        <w:tab w:val="right" w:pos="8306"/>
      </w:tabs>
      <w:snapToGrid w:val="0"/>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paragraph" w:styleId="7">
    <w:name w:val="Normal (Web)"/>
    <w:basedOn w:val="1"/>
    <w:qFormat/>
    <w:uiPriority w:val="0"/>
  </w:style>
  <w:style w:type="character" w:styleId="10">
    <w:name w:val="Strong"/>
    <w:basedOn w:val="9"/>
    <w:qFormat/>
    <w:uiPriority w:val="0"/>
    <w:rPr>
      <w:b/>
    </w:rPr>
  </w:style>
  <w:style w:type="character" w:customStyle="1" w:styleId="11">
    <w:name w:val="页眉 字符"/>
    <w:basedOn w:val="9"/>
    <w:link w:val="6"/>
    <w:qFormat/>
    <w:uiPriority w:val="0"/>
    <w:rPr>
      <w:rFonts w:ascii="Times New Roman" w:hAnsi="Times New Roman" w:eastAsia="宋体" w:cs="Times New Roman"/>
      <w:kern w:val="2"/>
      <w:sz w:val="18"/>
      <w:szCs w:val="18"/>
    </w:rPr>
  </w:style>
  <w:style w:type="character" w:customStyle="1" w:styleId="12">
    <w:name w:val="页脚 字符"/>
    <w:basedOn w:val="9"/>
    <w:link w:val="5"/>
    <w:qFormat/>
    <w:uiPriority w:val="0"/>
    <w:rPr>
      <w:rFonts w:ascii="Times New Roman" w:hAnsi="Times New Roman" w:eastAsia="宋体" w:cs="Times New Roman"/>
      <w:kern w:val="2"/>
      <w:sz w:val="18"/>
      <w:szCs w:val="18"/>
    </w:rPr>
  </w:style>
  <w:style w:type="paragraph" w:customStyle="1" w:styleId="13">
    <w:name w:val="ds-markdown-paragraph"/>
    <w:basedOn w:val="1"/>
    <w:qFormat/>
    <w:uiPriority w:val="0"/>
    <w:pPr>
      <w:spacing w:before="100" w:beforeAutospacing="1" w:after="100" w:afterAutospacing="1"/>
    </w:pPr>
  </w:style>
  <w:style w:type="paragraph" w:customStyle="1" w:styleId="14">
    <w:name w:val="修订1"/>
    <w:hidden/>
    <w:unhideWhenUsed/>
    <w:qFormat/>
    <w:uiPriority w:val="99"/>
    <w:pPr>
      <w:spacing w:after="160" w:line="278" w:lineRule="auto"/>
    </w:pPr>
    <w:rPr>
      <w:rFonts w:ascii="宋体" w:hAnsi="宋体" w:eastAsia="宋体" w:cs="宋体"/>
      <w:sz w:val="24"/>
      <w:szCs w:val="24"/>
      <w:lang w:val="en-US" w:eastAsia="zh-CN" w:bidi="ar-SA"/>
    </w:rPr>
  </w:style>
  <w:style w:type="paragraph" w:customStyle="1" w:styleId="15">
    <w:name w:val="修订2"/>
    <w:hidden/>
    <w:unhideWhenUsed/>
    <w:qFormat/>
    <w:uiPriority w:val="99"/>
    <w:pPr>
      <w:spacing w:after="160" w:line="278" w:lineRule="auto"/>
    </w:pPr>
    <w:rPr>
      <w:rFonts w:ascii="宋体" w:hAnsi="宋体" w:eastAsia="宋体" w:cs="宋体"/>
      <w:sz w:val="24"/>
      <w:szCs w:val="24"/>
      <w:lang w:val="en-US" w:eastAsia="zh-CN" w:bidi="ar-SA"/>
    </w:rPr>
  </w:style>
  <w:style w:type="paragraph" w:customStyle="1" w:styleId="16">
    <w:name w:val="修订3"/>
    <w:hidden/>
    <w:unhideWhenUsed/>
    <w:qFormat/>
    <w:uiPriority w:val="99"/>
    <w:pPr>
      <w:spacing w:after="160" w:line="278" w:lineRule="auto"/>
    </w:pPr>
    <w:rPr>
      <w:rFonts w:ascii="宋体" w:hAnsi="宋体" w:eastAsia="宋体" w:cs="宋体"/>
      <w:sz w:val="24"/>
      <w:szCs w:val="24"/>
      <w:lang w:val="en-US" w:eastAsia="zh-CN" w:bidi="ar-SA"/>
    </w:rPr>
  </w:style>
  <w:style w:type="paragraph" w:customStyle="1" w:styleId="17">
    <w:name w:val="修订4"/>
    <w:hidden/>
    <w:unhideWhenUsed/>
    <w:qFormat/>
    <w:uiPriority w:val="99"/>
    <w:pPr>
      <w:spacing w:after="160" w:line="278" w:lineRule="auto"/>
    </w:pPr>
    <w:rPr>
      <w:rFonts w:ascii="宋体" w:hAnsi="宋体" w:eastAsia="宋体" w:cs="宋体"/>
      <w:sz w:val="24"/>
      <w:szCs w:val="24"/>
      <w:lang w:val="en-US" w:eastAsia="zh-CN" w:bidi="ar-SA"/>
    </w:rPr>
  </w:style>
  <w:style w:type="paragraph" w:customStyle="1" w:styleId="18">
    <w:name w:val="修订5"/>
    <w:hidden/>
    <w:unhideWhenUsed/>
    <w:qFormat/>
    <w:uiPriority w:val="99"/>
    <w:pPr>
      <w:spacing w:after="160" w:line="278" w:lineRule="auto"/>
    </w:pPr>
    <w:rPr>
      <w:rFonts w:ascii="宋体" w:hAnsi="宋体" w:eastAsia="宋体" w:cs="宋体"/>
      <w:sz w:val="24"/>
      <w:szCs w:val="24"/>
      <w:lang w:val="en-US" w:eastAsia="zh-CN" w:bidi="ar-SA"/>
    </w:rPr>
  </w:style>
  <w:style w:type="paragraph" w:customStyle="1" w:styleId="19">
    <w:name w:val="修订6"/>
    <w:hidden/>
    <w:unhideWhenUsed/>
    <w:qFormat/>
    <w:uiPriority w:val="99"/>
    <w:pPr>
      <w:spacing w:after="160" w:line="278" w:lineRule="auto"/>
    </w:pPr>
    <w:rPr>
      <w:rFonts w:ascii="宋体" w:hAnsi="宋体" w:eastAsia="宋体" w:cs="宋体"/>
      <w:sz w:val="24"/>
      <w:szCs w:val="24"/>
      <w:lang w:val="en-US" w:eastAsia="zh-CN" w:bidi="ar-SA"/>
    </w:rPr>
  </w:style>
  <w:style w:type="paragraph" w:customStyle="1" w:styleId="20">
    <w:name w:val="修订7"/>
    <w:hidden/>
    <w:unhideWhenUsed/>
    <w:qFormat/>
    <w:uiPriority w:val="99"/>
    <w:pPr>
      <w:spacing w:after="160" w:line="278" w:lineRule="auto"/>
    </w:pPr>
    <w:rPr>
      <w:rFonts w:ascii="宋体" w:hAnsi="宋体" w:eastAsia="宋体" w:cs="宋体"/>
      <w:sz w:val="24"/>
      <w:szCs w:val="24"/>
      <w:lang w:val="en-US" w:eastAsia="zh-CN" w:bidi="ar-SA"/>
    </w:rPr>
  </w:style>
  <w:style w:type="paragraph" w:customStyle="1" w:styleId="21">
    <w:name w:val="修订8"/>
    <w:hidden/>
    <w:unhideWhenUsed/>
    <w:qFormat/>
    <w:uiPriority w:val="99"/>
    <w:pPr>
      <w:spacing w:after="160" w:line="278" w:lineRule="auto"/>
    </w:pPr>
    <w:rPr>
      <w:rFonts w:ascii="宋体" w:hAnsi="宋体" w:eastAsia="宋体" w:cs="宋体"/>
      <w:sz w:val="24"/>
      <w:szCs w:val="24"/>
      <w:lang w:val="en-US" w:eastAsia="zh-CN" w:bidi="ar-SA"/>
    </w:rPr>
  </w:style>
  <w:style w:type="paragraph" w:customStyle="1" w:styleId="22">
    <w:name w:val="修订9"/>
    <w:hidden/>
    <w:unhideWhenUsed/>
    <w:qFormat/>
    <w:uiPriority w:val="99"/>
    <w:pPr>
      <w:spacing w:after="160" w:line="278" w:lineRule="auto"/>
    </w:pPr>
    <w:rPr>
      <w:rFonts w:ascii="宋体" w:hAnsi="宋体" w:eastAsia="宋体" w:cs="宋体"/>
      <w:sz w:val="24"/>
      <w:szCs w:val="24"/>
      <w:lang w:val="en-US" w:eastAsia="zh-CN" w:bidi="ar-SA"/>
    </w:rPr>
  </w:style>
  <w:style w:type="paragraph" w:customStyle="1" w:styleId="23">
    <w:name w:val="Revision"/>
    <w:hidden/>
    <w:unhideWhenUsed/>
    <w:qFormat/>
    <w:uiPriority w:val="99"/>
    <w:pPr>
      <w:spacing w:after="0" w:line="240" w:lineRule="auto"/>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7383</Words>
  <Characters>7585</Characters>
  <Lines>54</Lines>
  <Paragraphs>15</Paragraphs>
  <TotalTime>353</TotalTime>
  <ScaleCrop>false</ScaleCrop>
  <LinksUpToDate>false</LinksUpToDate>
  <CharactersWithSpaces>7588</CharactersWithSpaces>
  <Application>WPS Office_11.8.2.9793_F1E327BC-269C-435d-A152-05C5408002CA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2026-09-19T17:14:00Z</dcterms:created>
  <dc:creator>15310</dc:creator>
  <cp:lastModifiedBy>徐琳琳</cp:lastModifiedBy>
  <cp:lastPrinted>2026-10-14T00:02:00Z</cp:lastPrinted>
  <dcterms:modified xsi:type="dcterms:W3CDTF">2026-10-14T14:48:09Z</dcterms:modified>
  <cp:revision>163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2052-11.8.2.9793</vt:lpwstr>
  </property>
  <property fmtid="{D5CDD505-2E9C-101B-9397-08002B2CF9AE}" pid="3" name="KSOTemplateDocerSaveRecord">
    <vt:lpwstr>eyJoZGlkIjoiZDRkNDRkOGQ4YTY3NDlhYjhlOWE0OGY2MDdhZWYwMTgiLCJ1c2VySWQiOiIxNDQyMzIxMTc4In0=</vt:lpwstr>
  </property>
  <property fmtid="{D5CDD505-2E9C-101B-9397-08002B2CF9AE}" pid="4" name="ICV">
    <vt:lpwstr>1220B843AF8A4771857DE845BE89E73B_13</vt:lpwstr>
  </property>
</Properties>
</file>